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jc w:val="center"/>
      </w:pPr>
      <w:r>
        <w:rPr>
          <w:rFonts w:ascii="Arial" w:cs="Arial" w:eastAsia="Arial" w:hAnsi="Arial"/>
          <w:b/>
          <w:bCs/>
          <w:color w:val="1F4E79"/>
          <w:sz w:val="40"/>
          <w:szCs w:val="40"/>
        </w:rPr>
        <w:t xml:space="preserve">EMOLLIENT WIDE DUMP</w:t>
      </w:r>
    </w:p>
    <w:p>
      <w:pPr>
        <w:spacing w:after="80"/>
        <w:jc w:val="center"/>
      </w:pPr>
      <w:r>
        <w:rPr>
          <w:rFonts w:ascii="Arial" w:cs="Arial" w:eastAsia="Arial" w:hAnsi="Arial"/>
          <w:color w:val="2E74B5"/>
          <w:sz w:val="26"/>
          <w:szCs w:val="26"/>
        </w:rPr>
        <w:t xml:space="preserve">Analyst Guide — Version 4</w:t>
      </w:r>
    </w:p>
    <w:p>
      <w:pPr>
        <w:spacing w:after="500"/>
        <w:jc w:val="center"/>
      </w:pPr>
      <w:r>
        <w:rPr>
          <w:rFonts w:ascii="Arial" w:cs="Arial" w:eastAsia="Arial" w:hAnsi="Arial"/>
          <w:color w:val="595959"/>
          <w:sz w:val="22"/>
          <w:szCs w:val="22"/>
        </w:rPr>
        <w:t xml:space="preserve">CEL Reporting Engine  •  REDCap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Field</w:t>
            </w:r>
          </w:p>
        </w:tc>
        <w:tc>
          <w:tcPr>
            <w:tcW w:type="dxa" w:w="692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Detail</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Document</w:t>
            </w:r>
          </w:p>
        </w:tc>
        <w:tc>
          <w:tcPr>
            <w:tcW w:type="dxa" w:w="692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Emollient Wide Dump — Analyst Guide v4</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Supersedes</w:t>
            </w:r>
          </w:p>
        </w:tc>
        <w:tc>
          <w:tcPr>
            <w:tcW w:type="dxa" w:w="692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v3 — figures corrected to the delivered file; primer added</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Audience</w:t>
            </w:r>
          </w:p>
        </w:tc>
        <w:tc>
          <w:tcPr>
            <w:tcW w:type="dxa" w:w="692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Analysts working with the exported data. No REDCap experience assumed — start at section 1.</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Data status</w:t>
            </w:r>
          </w:p>
        </w:tc>
        <w:tc>
          <w:tcPr>
            <w:tcW w:type="dxa" w:w="692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De-identified. See section 2.</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Source project</w:t>
            </w:r>
          </w:p>
        </w:tc>
        <w:tc>
          <w:tcPr>
            <w:tcW w:type="dxa" w:w="692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ICMR Emollient Main (REDCap, longitudinal, repeating forms)</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Produced by</w:t>
            </w:r>
          </w:p>
        </w:tc>
        <w:tc>
          <w:tcPr>
            <w:tcW w:type="dxa" w:w="692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CEL Reporting Engine, tools/dump.php</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Delivered with</w:t>
            </w:r>
          </w:p>
        </w:tc>
        <w:tc>
          <w:tcPr>
            <w:tcW w:type="dxa" w:w="692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wide.csv.gz, &lt;name&gt;_codebook.csv, &lt;name&gt;_choices.csv</w:t>
            </w:r>
          </w:p>
        </w:tc>
      </w:tr>
      <w:tr>
        <w:trPr>
          <w:tblHeader w:val="false"/>
        </w:trPr>
        <w:tc>
          <w:tcPr>
            <w:tcW w:type="dxa" w:w="2434"/>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File as delivered</w:t>
            </w:r>
          </w:p>
        </w:tc>
        <w:tc>
          <w:tcPr>
            <w:tcW w:type="dxa" w:w="692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10,890 columns, 343 MB uncompressed</w:t>
            </w:r>
          </w:p>
        </w:tc>
      </w:tr>
      <w:tr>
        <w:trPr>
          <w:tblHeader w:val="false"/>
        </w:trPr>
        <w:tc>
          <w:tcPr>
            <w:tcW w:type="dxa" w:w="2434"/>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Author</w:t>
            </w:r>
          </w:p>
        </w:tc>
        <w:tc>
          <w:tcPr>
            <w:tcW w:type="dxa" w:w="692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Amit — CEL</w:t>
            </w:r>
          </w:p>
        </w:tc>
      </w:tr>
    </w:tbl>
    <w:p>
      <w:r>
        <w:br w:type="page"/>
      </w:r>
    </w:p>
    <w:p>
      <w:pPr>
        <w:pStyle w:val="Heading1"/>
        <w:spacing w:after="160" w:before="320"/>
      </w:pPr>
      <w:r>
        <w:rPr>
          <w:rFonts w:ascii="Arial" w:cs="Arial" w:eastAsia="Arial" w:hAnsi="Arial"/>
          <w:b/>
          <w:bCs/>
          <w:color w:val="1F4E79"/>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1F4E79"/>
          <w:sz w:val="28"/>
          <w:szCs w:val="28"/>
        </w:rPr>
        <w:t xml:space="preserve">1. A five-minute primer on REDCap data</w:t>
      </w:r>
    </w:p>
    <w:p>
      <w:pPr>
        <w:spacing w:after="120"/>
      </w:pPr>
      <w:r>
        <w:rPr>
          <w:rFonts w:ascii="Arial" w:cs="Arial" w:eastAsia="Arial" w:hAnsi="Arial"/>
          <w:sz w:val="20"/>
          <w:szCs w:val="20"/>
        </w:rPr>
        <w:t xml:space="preserve">If you have not worked with REDCap before, four ideas explain almost everything odd about this file. Nothing here is specific to our project — it is how REDCap exports work.</w:t>
      </w:r>
    </w:p>
    <w:p>
      <w:pPr>
        <w:pStyle w:val="Heading2"/>
        <w:spacing w:after="120" w:before="240"/>
      </w:pPr>
      <w:r>
        <w:rPr>
          <w:rFonts w:ascii="Arial" w:cs="Arial" w:eastAsia="Arial" w:hAnsi="Arial"/>
          <w:b/>
          <w:bCs/>
          <w:color w:val="2E74B5"/>
          <w:sz w:val="23"/>
          <w:szCs w:val="23"/>
        </w:rPr>
        <w:t xml:space="preserve">1.1 A record is a baby</w:t>
      </w:r>
    </w:p>
    <w:p>
      <w:pPr>
        <w:spacing w:after="120"/>
      </w:pPr>
      <w:r>
        <w:rPr>
          <w:rFonts w:ascii="Arial" w:cs="Arial" w:eastAsia="Arial" w:hAnsi="Arial"/>
          <w:sz w:val="20"/>
          <w:szCs w:val="20"/>
        </w:rPr>
        <w:t xml:space="preserve">Each baby has one record, identified by record_id (for example 307-9). The number before the hyphen is the site. Every row in this file is one record.</w:t>
      </w:r>
    </w:p>
    <w:p>
      <w:pPr>
        <w:pStyle w:val="Heading2"/>
        <w:spacing w:after="120" w:before="240"/>
      </w:pPr>
      <w:r>
        <w:rPr>
          <w:rFonts w:ascii="Arial" w:cs="Arial" w:eastAsia="Arial" w:hAnsi="Arial"/>
          <w:b/>
          <w:bCs/>
          <w:color w:val="2E74B5"/>
          <w:sz w:val="23"/>
          <w:szCs w:val="23"/>
        </w:rPr>
        <w:t xml:space="preserve">1.2 An event is a study timepoint</w:t>
      </w:r>
    </w:p>
    <w:p>
      <w:pPr>
        <w:spacing w:after="120"/>
      </w:pPr>
      <w:r>
        <w:rPr>
          <w:rFonts w:ascii="Arial" w:cs="Arial" w:eastAsia="Arial" w:hAnsi="Arial"/>
          <w:sz w:val="20"/>
          <w:szCs w:val="20"/>
        </w:rPr>
        <w:t xml:space="preserve">The project is longitudinal: the same forms are completed repeatedly as the baby progresses. Each occasion is an EVENT — day0_arm_1 through day28_arm_1, plus discharge_arm_1 and others. "arm_1" is REDCap’s internal label for the single study arm; you can read past it.</w:t>
      </w:r>
    </w:p>
    <w:p>
      <w:pPr>
        <w:pStyle w:val="Heading2"/>
        <w:spacing w:after="120" w:before="240"/>
      </w:pPr>
      <w:r>
        <w:rPr>
          <w:rFonts w:ascii="Arial" w:cs="Arial" w:eastAsia="Arial" w:hAnsi="Arial"/>
          <w:b/>
          <w:bCs/>
          <w:color w:val="2E74B5"/>
          <w:sz w:val="23"/>
          <w:szCs w:val="23"/>
        </w:rPr>
        <w:t xml:space="preserve">1.3 A form is a questionnaire, and some repeat</w:t>
      </w:r>
    </w:p>
    <w:p>
      <w:pPr>
        <w:spacing w:after="120"/>
      </w:pPr>
      <w:r>
        <w:rPr>
          <w:rFonts w:ascii="Arial" w:cs="Arial" w:eastAsia="Arial" w:hAnsi="Arial"/>
          <w:sz w:val="20"/>
          <w:szCs w:val="20"/>
        </w:rPr>
        <w:t xml:space="preserve">Fields are grouped into forms (registration, daily_clinical_monitoring, and so on). Most forms are completed once per event. Two are REPEATING: the emolliation form and the control log can be completed more than once on the same day, and each completion is an INSTANCE numbered 1, 2, 3.</w:t>
      </w:r>
    </w:p>
    <w:p>
      <w:pPr>
        <w:pStyle w:val="Heading2"/>
        <w:spacing w:after="120" w:before="240"/>
      </w:pPr>
      <w:r>
        <w:rPr>
          <w:rFonts w:ascii="Arial" w:cs="Arial" w:eastAsia="Arial" w:hAnsi="Arial"/>
          <w:b/>
          <w:bCs/>
          <w:color w:val="2E74B5"/>
          <w:sz w:val="23"/>
          <w:szCs w:val="23"/>
        </w:rPr>
        <w:t xml:space="preserve">1.4 Values are stored as codes</w:t>
      </w:r>
    </w:p>
    <w:p>
      <w:pPr>
        <w:spacing w:after="120"/>
      </w:pPr>
      <w:r>
        <w:rPr>
          <w:rFonts w:ascii="Arial" w:cs="Arial" w:eastAsia="Arial" w:hAnsi="Arial"/>
          <w:sz w:val="20"/>
          <w:szCs w:val="20"/>
        </w:rPr>
        <w:t xml:space="preserve">A question displayed as "Yes / No / Not investigated" is stored as Y, N, NI. The export contains the code. The accompanying choices file translates them; section 6 covers this, and it is the most common source of wrong answers.</w:t>
      </w:r>
    </w:p>
    <w:p>
      <w:pPr>
        <w:spacing w:after="120"/>
      </w:pPr>
      <w:r>
        <w:rPr>
          <w:rFonts w:ascii="Arial" w:cs="Arial" w:eastAsia="Arial" w:hAnsi="Arial"/>
          <w:b/>
          <w:bCs/>
          <w:sz w:val="20"/>
          <w:szCs w:val="20"/>
        </w:rPr>
        <w:t xml:space="preserve">Those four ideas explain the column names: every column is a combination of event, form, instance and field. Section 5 breaks one apart.</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2. What this export is</w:t>
      </w:r>
    </w:p>
    <w:p>
      <w:pPr>
        <w:spacing w:after="120"/>
      </w:pPr>
      <w:r>
        <w:rPr>
          <w:rFonts w:ascii="Arial" w:cs="Arial" w:eastAsia="Arial" w:hAnsi="Arial"/>
          <w:sz w:val="20"/>
          <w:szCs w:val="20"/>
        </w:rPr>
        <w:t xml:space="preserve">The Emollient REDCap project is longitudinal with repeating forms. A baby is followed across 29 study events (day 0 to day 28, plus discharge and other-forms events), and on each day the emolliation and control-log forms can be completed more than once.</w:t>
      </w:r>
    </w:p>
    <w:p>
      <w:pPr>
        <w:spacing w:after="120"/>
      </w:pPr>
      <w:r>
        <w:rPr>
          <w:rFonts w:ascii="Arial" w:cs="Arial" w:eastAsia="Arial" w:hAnsi="Arial"/>
          <w:sz w:val="20"/>
          <w:szCs w:val="20"/>
        </w:rPr>
        <w:t xml:space="preserve">The wide dump flattens all of that into ONE ROW PER BABY. Every value a baby has, on any day, in any form, in any repeat instance, appears as its own column on that baby’s single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Measure</w:t>
            </w:r>
          </w:p>
        </w:tc>
        <w:tc>
          <w:tcPr>
            <w:tcW w:type="dxa" w:w="3744"/>
            <w:shd w:fill="1F4E79" w:val="clear"/>
            <w:tcMar>
              <w:top w:type="dxa" w:w="60"/>
              <w:left w:type="dxa" w:w="90"/>
              <w:bottom w:type="dxa" w:w="60"/>
              <w:right w:type="dxa" w:w="90"/>
            </w:tcMar>
          </w:tcPr>
          <w:p>
            <w:pPr>
              <w:jc w:val="right"/>
            </w:pPr>
            <w:r>
              <w:rPr>
                <w:rFonts w:ascii="Arial" w:cs="Arial" w:eastAsia="Arial" w:hAnsi="Arial"/>
                <w:b/>
                <w:bCs/>
                <w:color w:val="FFFFFF"/>
                <w:sz w:val="18"/>
                <w:szCs w:val="18"/>
              </w:rPr>
              <w:t xml:space="preserve">This file</w:t>
            </w:r>
          </w:p>
        </w:tc>
      </w:tr>
      <w:tr>
        <w:trPr>
          <w:tblHeader w:val="false"/>
        </w:trPr>
        <w:tc>
          <w:tcPr>
            <w:tcW w:type="dxa" w:w="561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Rows — one per baby</w:t>
            </w:r>
          </w:p>
        </w:tc>
        <w:tc>
          <w:tcPr>
            <w:tcW w:type="dxa" w:w="3744"/>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10,659</w:t>
            </w:r>
          </w:p>
        </w:tc>
      </w:tr>
      <w:tr>
        <w:trPr>
          <w:tblHeader w:val="false"/>
        </w:trPr>
        <w:tc>
          <w:tcPr>
            <w:tcW w:type="dxa" w:w="561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Columns</w:t>
            </w:r>
          </w:p>
        </w:tc>
        <w:tc>
          <w:tcPr>
            <w:tcW w:type="dxa" w:w="3744"/>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10,890</w:t>
            </w:r>
          </w:p>
        </w:tc>
      </w:tr>
      <w:tr>
        <w:trPr>
          <w:tblHeader w:val="false"/>
        </w:trPr>
        <w:tc>
          <w:tcPr>
            <w:tcW w:type="dxa" w:w="561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Size uncompressed</w:t>
            </w:r>
          </w:p>
        </w:tc>
        <w:tc>
          <w:tcPr>
            <w:tcW w:type="dxa" w:w="3744"/>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343 MB</w:t>
            </w:r>
          </w:p>
        </w:tc>
      </w:tr>
      <w:tr>
        <w:trPr>
          <w:tblHeader w:val="false"/>
        </w:trPr>
        <w:tc>
          <w:tcPr>
            <w:tcW w:type="dxa" w:w="561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Delivered as</w:t>
            </w:r>
          </w:p>
        </w:tc>
        <w:tc>
          <w:tcPr>
            <w:tcW w:type="dxa" w:w="3744"/>
            <w:shd w:fill="FFFFFF" w:val="clear"/>
            <w:tcMar>
              <w:top w:type="dxa" w:w="60"/>
              <w:left w:type="dxa" w:w="90"/>
              <w:bottom w:type="dxa" w:w="60"/>
              <w:right w:type="dxa" w:w="90"/>
            </w:tcMar>
          </w:tcPr>
          <w:p>
            <w:pPr>
              <w:jc w:val="right"/>
            </w:pPr>
            <w:r>
              <w:rPr>
                <w:rFonts w:ascii="Arial" w:cs="Arial" w:eastAsia="Arial" w:hAnsi="Arial"/>
                <w:color w:val="000000"/>
                <w:sz w:val="18"/>
                <w:szCs w:val="18"/>
              </w:rPr>
              <w:t xml:space="preserve">wide.csv.gz</w:t>
            </w:r>
          </w:p>
        </w:tc>
      </w:tr>
      <w:tr>
        <w:trPr>
          <w:tblHeader w:val="false"/>
        </w:trPr>
        <w:tc>
          <w:tcPr>
            <w:tcW w:type="dxa" w:w="561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Identifying fields</w:t>
            </w:r>
          </w:p>
        </w:tc>
        <w:tc>
          <w:tcPr>
            <w:tcW w:type="dxa" w:w="3744"/>
            <w:shd w:fill="F7F9FC" w:val="clear"/>
            <w:tcMar>
              <w:top w:type="dxa" w:w="60"/>
              <w:left w:type="dxa" w:w="90"/>
              <w:bottom w:type="dxa" w:w="60"/>
              <w:right w:type="dxa" w:w="90"/>
            </w:tcMar>
          </w:tcPr>
          <w:p>
            <w:pPr>
              <w:jc w:val="right"/>
            </w:pPr>
            <w:r>
              <w:rPr>
                <w:rFonts w:ascii="Arial" w:cs="Arial" w:eastAsia="Arial" w:hAnsi="Arial"/>
                <w:color w:val="000000"/>
                <w:sz w:val="18"/>
                <w:szCs w:val="18"/>
              </w:rPr>
              <w:t xml:space="preserve">removed — see section 3</w:t>
            </w:r>
          </w:p>
        </w:tc>
      </w:tr>
    </w:tbl>
    <w:p>
      <w:pPr>
        <w:spacing w:after="120"/>
      </w:pPr>
      <w:r>
        <w:rPr>
          <w:rFonts w:ascii="Arial" w:cs="Arial" w:eastAsia="Arial" w:hAnsi="Arial"/>
          <w:sz w:val="20"/>
          <w:szCs w:val="20"/>
        </w:rPr>
        <w:t xml:space="preserve">Read it compressed; there is no need to expand it:</w:t>
      </w:r>
    </w:p>
    <w:p>
      <w:pPr>
        <w:shd w:fill="F2F2F2" w:val="clear"/>
        <w:spacing w:after="60"/>
      </w:pPr>
      <w:r>
        <w:rPr>
          <w:rFonts w:ascii="Courier New" w:cs="Courier New" w:eastAsia="Courier New" w:hAnsi="Courier New"/>
          <w:sz w:val="16"/>
          <w:szCs w:val="16"/>
        </w:rPr>
        <w:t xml:space="preserve">d &lt;- data.table::fread("wide.csv.gz")</w:t>
      </w:r>
    </w:p>
    <w:p>
      <w:pPr>
        <w:shd w:fill="F2F2F2" w:val="clear"/>
        <w:spacing w:after="60"/>
      </w:pPr>
      <w:r>
        <w:rPr>
          <w:rFonts w:ascii="Courier New" w:cs="Courier New" w:eastAsia="Courier New" w:hAnsi="Courier New"/>
          <w:sz w:val="16"/>
          <w:szCs w:val="16"/>
        </w:rPr>
        <w:t xml:space="preserve"># python: pandas.read_csv("wide.csv.gz")</w:t>
      </w:r>
    </w:p>
    <w:p>
      <w:pPr>
        <w:spacing w:after="120"/>
      </w:pPr>
      <w:r>
        <w:rPr>
          <w:rFonts w:ascii="Arial" w:cs="Arial" w:eastAsia="Arial" w:hAnsi="Arial"/>
          <w:i/>
          <w:iCs/>
          <w:sz w:val="20"/>
          <w:szCs w:val="20"/>
        </w:rPr>
        <w:t xml:space="preserve">Most babies were screened and never reached the daily forms, so the great majority of columns are empty for any given baby. That sparseness is inherent to wide layout, not a fault in the export.</w:t>
      </w:r>
    </w:p>
    <w:p>
      <w:pPr>
        <w:spacing w:after="120"/>
      </w:pPr>
      <w:r>
        <w:rPr>
          <w:rFonts w:ascii="Arial" w:cs="Arial" w:eastAsia="Arial" w:hAnsi="Arial"/>
          <w:i/>
          <w:iCs/>
          <w:sz w:val="20"/>
          <w:szCs w:val="20"/>
        </w:rPr>
        <w:t xml:space="preserve">Row count grows with enrolment — quote the figure from the file you were given, not from this table.</w:t>
      </w:r>
    </w:p>
    <w:p>
      <w:pPr>
        <w:pBdr>
          <w:bottom w:val="single" w:color="BFBFBF" w:sz="6"/>
        </w:pBdr>
        <w:spacing w:after="160"/>
      </w:pPr>
      <w:r>
        <w:rPr>
          <w:rFonts w:ascii="Arial" w:cs="Arial" w:eastAsia="Arial" w:hAnsi="Arial"/>
          <w:sz w:val="2"/>
          <w:szCs w:val="2"/>
        </w:rPr>
        <w:t xml:space="preserve"/>
      </w:r>
    </w:p>
    <w:p>
      <w:pPr>
        <w:pStyle w:val="Heading2"/>
        <w:spacing w:after="120" w:before="240"/>
      </w:pPr>
      <w:r>
        <w:rPr>
          <w:rFonts w:ascii="Arial" w:cs="Arial" w:eastAsia="Arial" w:hAnsi="Arial"/>
          <w:b/>
          <w:bCs/>
          <w:color w:val="2E74B5"/>
          <w:sz w:val="23"/>
          <w:szCs w:val="23"/>
        </w:rPr>
        <w:t xml:space="preserve">2.1 How this file was produced</w:t>
      </w:r>
    </w:p>
    <w:p>
      <w:pPr>
        <w:spacing w:after="120"/>
      </w:pPr>
      <w:r>
        <w:rPr>
          <w:rFonts w:ascii="Arial" w:cs="Arial" w:eastAsia="Arial" w:hAnsi="Arial"/>
          <w:sz w:val="20"/>
          <w:szCs w:val="20"/>
        </w:rPr>
        <w:t xml:space="preserve">The long-format export was pivoted to one row per baby in R. This matters in one respect only: a field that is blank for EVERY baby in this extract has no column at all, rather than a column full of blanks.</w:t>
      </w:r>
    </w:p>
    <w:p>
      <w:pPr>
        <w:spacing w:after="120"/>
      </w:pPr>
      <w:r>
        <w:rPr>
          <w:rFonts w:ascii="Arial" w:cs="Arial" w:eastAsia="Arial" w:hAnsi="Arial"/>
          <w:sz w:val="20"/>
          <w:szCs w:val="20"/>
        </w:rPr>
        <w:t xml:space="preserve">So if a column you expect is missing, check three things in order:</w:t>
      </w:r>
    </w:p>
    <w:p>
      <w:pPr>
        <w:pStyle w:val="ListParagraph"/>
        <w:numPr>
          <w:ilvl w:val="0"/>
          <w:numId w:val="2"/>
        </w:numPr>
        <w:spacing w:after="80"/>
      </w:pPr>
      <w:r>
        <w:rPr>
          <w:rFonts w:ascii="Arial" w:cs="Arial" w:eastAsia="Arial" w:hAnsi="Arial"/>
          <w:sz w:val="20"/>
          <w:szCs w:val="20"/>
        </w:rPr>
        <w:t xml:space="preserve">It may be one of the de-identified fields in section 3.</w:t>
      </w:r>
    </w:p>
    <w:p>
      <w:pPr>
        <w:pStyle w:val="ListParagraph"/>
        <w:numPr>
          <w:ilvl w:val="0"/>
          <w:numId w:val="2"/>
        </w:numPr>
        <w:spacing w:after="80"/>
      </w:pPr>
      <w:r>
        <w:rPr>
          <w:rFonts w:ascii="Arial" w:cs="Arial" w:eastAsia="Arial" w:hAnsi="Arial"/>
          <w:sz w:val="20"/>
          <w:szCs w:val="20"/>
        </w:rPr>
        <w:t xml:space="preserve">No baby in this extract may have a value for it — which is itself a finding, not an error.</w:t>
      </w:r>
    </w:p>
    <w:p>
      <w:pPr>
        <w:pStyle w:val="ListParagraph"/>
        <w:numPr>
          <w:ilvl w:val="0"/>
          <w:numId w:val="2"/>
        </w:numPr>
        <w:spacing w:after="80"/>
      </w:pPr>
      <w:r>
        <w:rPr>
          <w:rFonts w:ascii="Arial" w:cs="Arial" w:eastAsia="Arial" w:hAnsi="Arial"/>
          <w:sz w:val="20"/>
          <w:szCs w:val="20"/>
        </w:rPr>
        <w:t xml:space="preserve">It may genuinely be absent, in which case ask.</w:t>
      </w:r>
    </w:p>
    <w:p>
      <w:pPr>
        <w:spacing w:after="120"/>
      </w:pPr>
      <w:r>
        <w:rPr>
          <w:rFonts w:ascii="Arial" w:cs="Arial" w:eastAsia="Arial" w:hAnsi="Arial"/>
          <w:b/>
          <w:bCs/>
          <w:sz w:val="20"/>
          <w:szCs w:val="20"/>
        </w:rPr>
        <w:t xml:space="preserve">A consequence worth knowing if you receive a second extract later: the two may not have identical columns, because the column set follows the data. Compare headers before pooling, or ask for both to be built against a fixed column template.</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3. The data is de-identified</w:t>
      </w:r>
    </w:p>
    <w:p>
      <w:pPr>
        <w:spacing w:after="120"/>
      </w:pPr>
      <w:r>
        <w:rPr>
          <w:rFonts w:ascii="Arial" w:cs="Arial" w:eastAsia="Arial" w:hAnsi="Arial"/>
          <w:sz w:val="20"/>
          <w:szCs w:val="20"/>
        </w:rPr>
        <w:t xml:space="preserve">Twenty-seven fields are removed from every export before it leaves the study team. They are not blank in the file — the columns do not exist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Category</w:t>
            </w:r>
          </w:p>
        </w:tc>
        <w:tc>
          <w:tcPr>
            <w:tcW w:type="dxa" w:w="6739"/>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Fields removed</w:t>
            </w:r>
          </w:p>
        </w:tc>
      </w:tr>
      <w:tr>
        <w:trPr>
          <w:tblHeader w:val="false"/>
        </w:trPr>
        <w:tc>
          <w:tcPr>
            <w:tcW w:type="dxa" w:w="262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Names</w:t>
            </w:r>
          </w:p>
        </w:tc>
        <w:tc>
          <w:tcPr>
            <w:tcW w:type="dxa" w:w="673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mother’s name, father’s name</w:t>
            </w:r>
          </w:p>
        </w:tc>
      </w:tr>
      <w:tr>
        <w:trPr>
          <w:tblHeader w:val="false"/>
        </w:trPr>
        <w:tc>
          <w:tcPr>
            <w:tcW w:type="dxa" w:w="2621"/>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Address at enrolment</w:t>
            </w:r>
          </w:p>
        </w:tc>
        <w:tc>
          <w:tcPr>
            <w:tcW w:type="dxa" w:w="673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state, district, PIN code, house number / village, colony / block, area, city / town, landmark</w:t>
            </w:r>
          </w:p>
        </w:tc>
      </w:tr>
      <w:tr>
        <w:trPr>
          <w:tblHeader w:val="false"/>
        </w:trPr>
        <w:tc>
          <w:tcPr>
            <w:tcW w:type="dxa" w:w="262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Contact at enrolment</w:t>
            </w:r>
          </w:p>
        </w:tc>
        <w:tc>
          <w:tcPr>
            <w:tcW w:type="dxa" w:w="673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mother’s mobile, father’s mobile, family mobile, relative’s contact</w:t>
            </w:r>
          </w:p>
        </w:tc>
      </w:tr>
      <w:tr>
        <w:trPr>
          <w:tblHeader w:val="false"/>
        </w:trPr>
        <w:tc>
          <w:tcPr>
            <w:tcW w:type="dxa" w:w="2621"/>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Address at discharge</w:t>
            </w:r>
          </w:p>
        </w:tc>
        <w:tc>
          <w:tcPr>
            <w:tcW w:type="dxa" w:w="673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state, district, PIN code, house number, colony / block, area, city / town, landmark</w:t>
            </w:r>
          </w:p>
        </w:tc>
      </w:tr>
      <w:tr>
        <w:trPr>
          <w:tblHeader w:val="false"/>
        </w:trPr>
        <w:tc>
          <w:tcPr>
            <w:tcW w:type="dxa" w:w="262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Contact at discharge</w:t>
            </w:r>
          </w:p>
        </w:tc>
        <w:tc>
          <w:tcPr>
            <w:tcW w:type="dxa" w:w="673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mother’s mobile, family mobile, relative’s mobile, primary number, alternative number</w:t>
            </w:r>
          </w:p>
        </w:tc>
      </w:tr>
    </w:tbl>
    <w:p>
      <w:pPr>
        <w:spacing w:after="120"/>
      </w:pPr>
      <w:r>
        <w:rPr>
          <w:rFonts w:ascii="Arial" w:cs="Arial" w:eastAsia="Arial" w:hAnsi="Arial"/>
          <w:sz w:val="20"/>
          <w:szCs w:val="20"/>
        </w:rPr>
        <w:t xml:space="preserve">record_id remains. It is a study identifier, not a personal one, and it is what links this file to any other export from the same project.</w:t>
      </w:r>
    </w:p>
    <w:p>
      <w:pPr>
        <w:pStyle w:val="Heading2"/>
        <w:spacing w:after="120" w:before="240"/>
      </w:pPr>
      <w:r>
        <w:rPr>
          <w:rFonts w:ascii="Arial" w:cs="Arial" w:eastAsia="Arial" w:hAnsi="Arial"/>
          <w:b/>
          <w:bCs/>
          <w:color w:val="2E74B5"/>
          <w:sz w:val="23"/>
          <w:szCs w:val="23"/>
        </w:rPr>
        <w:t xml:space="preserve">3.1 What this means for analysis</w:t>
      </w:r>
    </w:p>
    <w:p>
      <w:pPr>
        <w:pStyle w:val="ListParagraph"/>
        <w:numPr>
          <w:ilvl w:val="0"/>
          <w:numId w:val="3"/>
        </w:numPr>
        <w:spacing w:after="80"/>
      </w:pPr>
      <w:r>
        <w:rPr>
          <w:rFonts w:ascii="Arial" w:cs="Arial" w:eastAsia="Arial" w:hAnsi="Arial"/>
          <w:sz w:val="20"/>
          <w:szCs w:val="20"/>
        </w:rPr>
        <w:t xml:space="preserve">Anything geographic beyond site code is unavailable. nss_hosp_code is the finest location granularity in the file.</w:t>
      </w:r>
    </w:p>
    <w:p>
      <w:pPr>
        <w:pStyle w:val="ListParagraph"/>
        <w:numPr>
          <w:ilvl w:val="0"/>
          <w:numId w:val="3"/>
        </w:numPr>
        <w:spacing w:after="80"/>
      </w:pPr>
      <w:r>
        <w:rPr>
          <w:rFonts w:ascii="Arial" w:cs="Arial" w:eastAsia="Arial" w:hAnsi="Arial"/>
          <w:sz w:val="20"/>
          <w:szCs w:val="20"/>
        </w:rPr>
        <w:t xml:space="preserve">Records cannot be traced back to an individual from this file alone.</w:t>
      </w:r>
    </w:p>
    <w:p>
      <w:pPr>
        <w:pStyle w:val="ListParagraph"/>
        <w:numPr>
          <w:ilvl w:val="0"/>
          <w:numId w:val="3"/>
        </w:numPr>
        <w:spacing w:after="80"/>
      </w:pPr>
      <w:r>
        <w:rPr>
          <w:rFonts w:ascii="Arial" w:cs="Arial" w:eastAsia="Arial" w:hAnsi="Arial"/>
          <w:sz w:val="20"/>
          <w:szCs w:val="20"/>
        </w:rPr>
        <w:t xml:space="preserve">If an analysis genuinely needs one of these fields, that is a protocol and ethics question for the study team, not a re-export request.</w:t>
      </w:r>
    </w:p>
    <w:p>
      <w:pPr>
        <w:spacing w:after="120"/>
      </w:pPr>
      <w:r>
        <w:rPr>
          <w:rFonts w:ascii="Arial" w:cs="Arial" w:eastAsia="Arial" w:hAnsi="Arial"/>
          <w:b/>
          <w:bCs/>
          <w:sz w:val="20"/>
          <w:szCs w:val="20"/>
        </w:rPr>
        <w:t xml:space="preserve">If you receive a codebook listing these fields, it was generated in the wrong mode and does not describe your file. Ask for one built from the delivered header.</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4. Long layout versus wide layout</w:t>
      </w:r>
    </w:p>
    <w:p>
      <w:pPr>
        <w:spacing w:after="120"/>
      </w:pPr>
      <w:r>
        <w:rPr>
          <w:rFonts w:ascii="Arial" w:cs="Arial" w:eastAsia="Arial" w:hAnsi="Arial"/>
          <w:sz w:val="20"/>
          <w:szCs w:val="20"/>
        </w:rPr>
        <w:t xml:space="preserve">The same data can be exported in two layouts. Both are complete; neither loses anything. Only the arrangement of rows and columns differs.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1"/>
      </w:tblGrid>
      <w:tr>
        <w:trPr>
          <w:tblHeader/>
        </w:trPr>
        <w:tc>
          <w:tcPr>
            <w:tcW w:type="dxa" w:w="2059"/>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
            </w:r>
          </w:p>
        </w:tc>
        <w:tc>
          <w:tcPr>
            <w:tcW w:type="dxa" w:w="3650"/>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RawDump (long)</w:t>
            </w:r>
          </w:p>
        </w:tc>
        <w:tc>
          <w:tcPr>
            <w:tcW w:type="dxa" w:w="3651"/>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WideDump (wide)</w:t>
            </w:r>
          </w:p>
        </w:tc>
      </w:tr>
      <w:tr>
        <w:trPr>
          <w:tblHeader w:val="false"/>
        </w:trPr>
        <w:tc>
          <w:tcPr>
            <w:tcW w:type="dxa" w:w="205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One row is</w:t>
            </w:r>
          </w:p>
        </w:tc>
        <w:tc>
          <w:tcPr>
            <w:tcW w:type="dxa" w:w="365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one record per event per instance</w:t>
            </w:r>
          </w:p>
        </w:tc>
        <w:tc>
          <w:tcPr>
            <w:tcW w:type="dxa" w:w="365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one baby</w:t>
            </w:r>
          </w:p>
        </w:tc>
      </w:tr>
      <w:tr>
        <w:trPr>
          <w:tblHeader w:val="false"/>
        </w:trPr>
        <w:tc>
          <w:tcPr>
            <w:tcW w:type="dxa" w:w="205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Rows</w:t>
            </w:r>
          </w:p>
        </w:tc>
        <w:tc>
          <w:tcPr>
            <w:tcW w:type="dxa" w:w="3650"/>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~67,900</w:t>
            </w:r>
          </w:p>
        </w:tc>
        <w:tc>
          <w:tcPr>
            <w:tcW w:type="dxa" w:w="3651"/>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10,649</w:t>
            </w:r>
          </w:p>
        </w:tc>
      </w:tr>
      <w:tr>
        <w:trPr>
          <w:tblHeader w:val="false"/>
        </w:trPr>
        <w:tc>
          <w:tcPr>
            <w:tcW w:type="dxa" w:w="205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Columns</w:t>
            </w:r>
          </w:p>
        </w:tc>
        <w:tc>
          <w:tcPr>
            <w:tcW w:type="dxa" w:w="365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~700</w:t>
            </w:r>
          </w:p>
        </w:tc>
        <w:tc>
          <w:tcPr>
            <w:tcW w:type="dxa" w:w="365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14,588</w:t>
            </w:r>
          </w:p>
        </w:tc>
      </w:tr>
      <w:tr>
        <w:trPr>
          <w:tblHeader w:val="false"/>
        </w:trPr>
        <w:tc>
          <w:tcPr>
            <w:tcW w:type="dxa" w:w="205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Event is</w:t>
            </w:r>
          </w:p>
        </w:tc>
        <w:tc>
          <w:tcPr>
            <w:tcW w:type="dxa" w:w="3650"/>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 column (redcap_event_name)</w:t>
            </w:r>
          </w:p>
        </w:tc>
        <w:tc>
          <w:tcPr>
            <w:tcW w:type="dxa" w:w="3651"/>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part of the column name</w:t>
            </w:r>
          </w:p>
        </w:tc>
      </w:tr>
      <w:tr>
        <w:trPr>
          <w:tblHeader w:val="false"/>
        </w:trPr>
        <w:tc>
          <w:tcPr>
            <w:tcW w:type="dxa" w:w="205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Instance is</w:t>
            </w:r>
          </w:p>
        </w:tc>
        <w:tc>
          <w:tcPr>
            <w:tcW w:type="dxa" w:w="3650"/>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 column (redcap_repeat_instance)</w:t>
            </w:r>
          </w:p>
        </w:tc>
        <w:tc>
          <w:tcPr>
            <w:tcW w:type="dxa" w:w="3651"/>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part of the column name</w:t>
            </w:r>
          </w:p>
        </w:tc>
      </w:tr>
    </w:tbl>
    <w:p>
      <w:pPr>
        <w:pStyle w:val="Heading2"/>
        <w:spacing w:after="120" w:before="240"/>
      </w:pPr>
      <w:r>
        <w:rPr>
          <w:rFonts w:ascii="Arial" w:cs="Arial" w:eastAsia="Arial" w:hAnsi="Arial"/>
          <w:b/>
          <w:bCs/>
          <w:color w:val="2E74B5"/>
          <w:sz w:val="23"/>
          <w:szCs w:val="23"/>
        </w:rPr>
        <w:t xml:space="preserve">4.1 The same value in both</w:t>
      </w:r>
    </w:p>
    <w:p>
      <w:pPr>
        <w:spacing w:after="120"/>
      </w:pPr>
      <w:r>
        <w:rPr>
          <w:rFonts w:ascii="Arial" w:cs="Arial" w:eastAsia="Arial" w:hAnsi="Arial"/>
          <w:sz w:val="20"/>
          <w:szCs w:val="20"/>
        </w:rPr>
        <w:t xml:space="preserve">Long layout keeps REDCap’s native arrangement — one row per record per event per instance:</w:t>
      </w:r>
    </w:p>
    <w:p>
      <w:pPr>
        <w:shd w:fill="F2F2F2" w:val="clear"/>
        <w:spacing w:after="60"/>
      </w:pPr>
      <w:r>
        <w:rPr>
          <w:rFonts w:ascii="Courier New" w:cs="Courier New" w:eastAsia="Courier New" w:hAnsi="Courier New"/>
          <w:sz w:val="16"/>
          <w:szCs w:val="16"/>
        </w:rPr>
        <w:t xml:space="preserve">record_id, redcap_event_name, redcap_repeat_instance, int_oil_qty</w:t>
      </w:r>
    </w:p>
    <w:p>
      <w:pPr>
        <w:shd w:fill="F2F2F2" w:val="clear"/>
        <w:spacing w:after="60"/>
      </w:pPr>
      <w:r>
        <w:rPr>
          <w:rFonts w:ascii="Courier New" w:cs="Courier New" w:eastAsia="Courier New" w:hAnsi="Courier New"/>
          <w:sz w:val="16"/>
          <w:szCs w:val="16"/>
        </w:rPr>
        <w:t xml:space="preserve">307-9,     day1_arm_1,        1,                      12</w:t>
      </w:r>
    </w:p>
    <w:p>
      <w:pPr>
        <w:shd w:fill="F2F2F2" w:val="clear"/>
        <w:spacing w:after="60"/>
      </w:pPr>
      <w:r>
        <w:rPr>
          <w:rFonts w:ascii="Courier New" w:cs="Courier New" w:eastAsia="Courier New" w:hAnsi="Courier New"/>
          <w:sz w:val="16"/>
          <w:szCs w:val="16"/>
        </w:rPr>
        <w:t xml:space="preserve">307-9,     day1_arm_1,        2,                      14</w:t>
      </w:r>
    </w:p>
    <w:p>
      <w:pPr>
        <w:spacing w:after="120"/>
      </w:pPr>
      <w:r>
        <w:rPr>
          <w:rFonts w:ascii="Arial" w:cs="Arial" w:eastAsia="Arial" w:hAnsi="Arial"/>
          <w:sz w:val="20"/>
          <w:szCs w:val="20"/>
        </w:rPr>
        <w:t xml:space="preserve">Wide format moves event and instance into the column name:</w:t>
      </w:r>
    </w:p>
    <w:p>
      <w:pPr>
        <w:shd w:fill="F2F2F2" w:val="clear"/>
        <w:spacing w:after="60"/>
      </w:pPr>
      <w:r>
        <w:rPr>
          <w:rFonts w:ascii="Courier New" w:cs="Courier New" w:eastAsia="Courier New" w:hAnsi="Courier New"/>
          <w:sz w:val="16"/>
          <w:szCs w:val="16"/>
        </w:rPr>
        <w:t xml:space="preserve">record_id, day1_..._form_1_int_oil_qty, day1_..._form_2_int_oil_qty</w:t>
      </w:r>
    </w:p>
    <w:p>
      <w:pPr>
        <w:shd w:fill="F2F2F2" w:val="clear"/>
        <w:spacing w:after="60"/>
      </w:pPr>
      <w:r>
        <w:rPr>
          <w:rFonts w:ascii="Courier New" w:cs="Courier New" w:eastAsia="Courier New" w:hAnsi="Courier New"/>
          <w:sz w:val="16"/>
          <w:szCs w:val="16"/>
        </w:rPr>
        <w:t xml:space="preserve">307-9,     12,                          14</w:t>
      </w:r>
    </w:p>
    <w:p>
      <w:pPr>
        <w:pStyle w:val="Heading2"/>
        <w:spacing w:after="120" w:before="240"/>
      </w:pPr>
      <w:r>
        <w:rPr>
          <w:rFonts w:ascii="Arial" w:cs="Arial" w:eastAsia="Arial" w:hAnsi="Arial"/>
          <w:b/>
          <w:bCs/>
          <w:color w:val="2E74B5"/>
          <w:sz w:val="23"/>
          <w:szCs w:val="23"/>
        </w:rPr>
        <w:t xml:space="preserve">4.2 Which to use</w:t>
      </w:r>
    </w:p>
    <w:p>
      <w:pPr>
        <w:pStyle w:val="ListParagraph"/>
        <w:numPr>
          <w:ilvl w:val="0"/>
          <w:numId w:val="3"/>
        </w:numPr>
        <w:spacing w:after="80"/>
      </w:pPr>
      <w:r>
        <w:rPr>
          <w:rFonts w:ascii="Arial" w:cs="Arial" w:eastAsia="Arial" w:hAnsi="Arial"/>
          <w:sz w:val="20"/>
          <w:szCs w:val="20"/>
        </w:rPr>
        <w:t xml:space="preserve">Wide — when the unit of analysis is the baby: regression, one row per participant, baseline and outcome variables.</w:t>
      </w:r>
    </w:p>
    <w:p>
      <w:pPr>
        <w:pStyle w:val="ListParagraph"/>
        <w:numPr>
          <w:ilvl w:val="0"/>
          <w:numId w:val="3"/>
        </w:numPr>
        <w:spacing w:after="80"/>
      </w:pPr>
      <w:r>
        <w:rPr>
          <w:rFonts w:ascii="Arial" w:cs="Arial" w:eastAsia="Arial" w:hAnsi="Arial"/>
          <w:sz w:val="20"/>
          <w:szCs w:val="20"/>
        </w:rPr>
        <w:t xml:space="preserve">Long — for anything varying by day or session: mixed-effects models, survival analysis, trajectory plots, or simply counting events.</w:t>
      </w:r>
    </w:p>
    <w:p>
      <w:pPr>
        <w:spacing w:after="120"/>
      </w:pPr>
      <w:r>
        <w:rPr>
          <w:rFonts w:ascii="Arial" w:cs="Arial" w:eastAsia="Arial" w:hAnsi="Arial"/>
          <w:sz w:val="20"/>
          <w:szCs w:val="20"/>
        </w:rPr>
        <w:t xml:space="preserve">Filtering is far easier in long format. Counting emolliation sessions is one subset() call, against a regex over 86 column names in wide. Many analyses use long for the daily forms and wide for baseline and outcomes, joined on record_id.</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5. How to read a column name</w:t>
      </w:r>
    </w:p>
    <w:p>
      <w:pPr>
        <w:spacing w:after="120"/>
      </w:pPr>
      <w:r>
        <w:rPr>
          <w:rFonts w:ascii="Arial" w:cs="Arial" w:eastAsia="Arial" w:hAnsi="Arial"/>
          <w:sz w:val="20"/>
          <w:szCs w:val="20"/>
        </w:rPr>
        <w:t xml:space="preserve">Non-repeating form — three parts:</w:t>
      </w:r>
    </w:p>
    <w:p>
      <w:pPr>
        <w:shd w:fill="F2F2F2" w:val="clear"/>
        <w:spacing w:after="60"/>
      </w:pPr>
      <w:r>
        <w:rPr>
          <w:rFonts w:ascii="Courier New" w:cs="Courier New" w:eastAsia="Courier New" w:hAnsi="Courier New"/>
          <w:sz w:val="16"/>
          <w:szCs w:val="16"/>
        </w:rPr>
        <w:t xml:space="preserve">day0_arm_1_registration_reg_dc_id</w:t>
      </w:r>
    </w:p>
    <w:p>
      <w:pPr>
        <w:shd w:fill="F2F2F2" w:val="clear"/>
        <w:spacing w:after="60"/>
      </w:pPr>
      <w:r>
        <w:rPr>
          <w:rFonts w:ascii="Courier New" w:cs="Courier New" w:eastAsia="Courier New" w:hAnsi="Courier New"/>
          <w:sz w:val="16"/>
          <w:szCs w:val="16"/>
        </w:rPr>
        <w:t xml:space="preserve">|--event--||--form----||--field--|</w:t>
      </w:r>
    </w:p>
    <w:p>
      <w:pPr>
        <w:spacing w:after="120"/>
      </w:pPr>
      <w:r>
        <w:rPr>
          <w:rFonts w:ascii="Arial" w:cs="Arial" w:eastAsia="Arial" w:hAnsi="Arial"/>
          <w:sz w:val="20"/>
          <w:szCs w:val="20"/>
        </w:rPr>
        <w:t xml:space="preserve">Repeating form — the instance number sits between form and field:</w:t>
      </w:r>
    </w:p>
    <w:p>
      <w:pPr>
        <w:shd w:fill="F2F2F2" w:val="clear"/>
        <w:spacing w:after="60"/>
      </w:pPr>
      <w:r>
        <w:rPr>
          <w:rFonts w:ascii="Courier New" w:cs="Courier New" w:eastAsia="Courier New" w:hAnsi="Courier New"/>
          <w:sz w:val="16"/>
          <w:szCs w:val="16"/>
        </w:rPr>
        <w:t xml:space="preserve">day1_arm_1_daily_interventionemolliation_form_3_int_datetime</w:t>
      </w:r>
    </w:p>
    <w:p>
      <w:pPr>
        <w:shd w:fill="F2F2F2" w:val="clear"/>
        <w:spacing w:after="60"/>
      </w:pPr>
      <w:r>
        <w:rPr>
          <w:rFonts w:ascii="Courier New" w:cs="Courier New" w:eastAsia="Courier New" w:hAnsi="Courier New"/>
          <w:sz w:val="16"/>
          <w:szCs w:val="16"/>
        </w:rPr>
        <w:t xml:space="preserve">|--event--||----------form-------------------|^ |--field--|</w:t>
      </w:r>
    </w:p>
    <w:p>
      <w:pPr>
        <w:shd w:fill="F2F2F2" w:val="clear"/>
        <w:spacing w:after="60"/>
      </w:pPr>
      <w:r>
        <w:rPr>
          <w:rFonts w:ascii="Courier New" w:cs="Courier New" w:eastAsia="Courier New" w:hAnsi="Courier New"/>
          <w:sz w:val="16"/>
          <w:szCs w:val="16"/>
        </w:rPr>
        <w:t xml:space="preserve">                                     instance -+</w:t>
      </w:r>
    </w:p>
    <w:p>
      <w:pPr>
        <w:spacing w:after="120"/>
      </w:pPr>
      <w:r>
        <w:rPr>
          <w:rFonts w:ascii="Arial" w:cs="Arial" w:eastAsia="Arial" w:hAnsi="Arial"/>
          <w:sz w:val="20"/>
          <w:szCs w:val="20"/>
        </w:rPr>
        <w:t xml:space="preserve">Checkbox questions become one column per option, each holding 0 or 1:</w:t>
      </w:r>
    </w:p>
    <w:p>
      <w:pPr>
        <w:shd w:fill="F2F2F2" w:val="clear"/>
        <w:spacing w:after="60"/>
      </w:pPr>
      <w:r>
        <w:rPr>
          <w:rFonts w:ascii="Courier New" w:cs="Courier New" w:eastAsia="Courier New" w:hAnsi="Courier New"/>
          <w:sz w:val="16"/>
          <w:szCs w:val="16"/>
        </w:rPr>
        <w:t xml:space="preserve">day1_arm_1_daily_interventionemolliation_form_1_int_sae_reasons___NND</w:t>
      </w:r>
    </w:p>
    <w:p>
      <w:pPr>
        <w:pStyle w:val="Heading2"/>
        <w:spacing w:after="120" w:before="240"/>
      </w:pPr>
      <w:r>
        <w:rPr>
          <w:rFonts w:ascii="Arial" w:cs="Arial" w:eastAsia="Arial" w:hAnsi="Arial"/>
          <w:b/>
          <w:bCs/>
          <w:color w:val="2E74B5"/>
          <w:sz w:val="23"/>
          <w:szCs w:val="23"/>
        </w:rPr>
        <w:t xml:space="preserve">5.1 Instance caps follow the protocol</w:t>
      </w:r>
    </w:p>
    <w:p>
      <w:pPr>
        <w:spacing w:after="120"/>
      </w:pPr>
      <w:r>
        <w:rPr>
          <w:rFonts w:ascii="Arial" w:cs="Arial" w:eastAsia="Arial" w:hAnsi="Arial"/>
          <w:sz w:val="20"/>
          <w:szCs w:val="20"/>
        </w:rPr>
        <w:t xml:space="preserve">Day 0 permits a maximum of 2 emolliation records; days 1 to 28 permit 3. The export honours this, so day0_..._form_3_... does not exist while day1_..._form_3_... does.</w:t>
      </w:r>
    </w:p>
    <w:p>
      <w:pPr>
        <w:spacing w:after="120"/>
      </w:pPr>
      <w:r>
        <w:rPr>
          <w:rFonts w:ascii="Arial" w:cs="Arial" w:eastAsia="Arial" w:hAnsi="Arial"/>
          <w:b/>
          <w:bCs/>
          <w:sz w:val="20"/>
          <w:szCs w:val="20"/>
        </w:rPr>
        <w:t xml:space="preserve">This matters: the column set is fixed by protocol rather than by whatever happens to be in the data, so the header is stable between exports and two extracts can be pooled.</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6. Coded values — the most common source of error</w:t>
      </w:r>
    </w:p>
    <w:p>
      <w:pPr>
        <w:spacing w:after="120"/>
      </w:pPr>
      <w:r>
        <w:rPr>
          <w:rFonts w:ascii="Arial" w:cs="Arial" w:eastAsia="Arial" w:hAnsi="Arial"/>
          <w:sz w:val="20"/>
          <w:szCs w:val="20"/>
        </w:rPr>
        <w:t xml:space="preserve">REDCap stores the CODE, not the answer text. A dropdown displaying "Yes / No / Not investigated" is stored as Y, N, NI. The export contains the codes, so without the codebook the columns are unreadable.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1685"/>
        <w:gridCol w:w="3369"/>
      </w:tblGrid>
      <w:tr>
        <w:trPr>
          <w:tblHeader/>
        </w:trPr>
        <w:tc>
          <w:tcPr>
            <w:tcW w:type="dxa" w:w="4306"/>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field_name</w:t>
            </w:r>
          </w:p>
        </w:tc>
        <w:tc>
          <w:tcPr>
            <w:tcW w:type="dxa" w:w="1685"/>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code</w:t>
            </w:r>
          </w:p>
        </w:tc>
        <w:tc>
          <w:tcPr>
            <w:tcW w:type="dxa" w:w="3369"/>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meaning</w:t>
            </w:r>
          </w:p>
        </w:tc>
      </w:tr>
      <w:tr>
        <w:trPr>
          <w:tblHeader w:val="false"/>
        </w:trPr>
        <w:tc>
          <w:tcPr>
            <w:tcW w:type="dxa" w:w="430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int_emoliate_baby</w:t>
            </w:r>
          </w:p>
        </w:tc>
        <w:tc>
          <w:tcPr>
            <w:tcW w:type="dxa" w:w="168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Y</w:t>
            </w:r>
          </w:p>
        </w:tc>
        <w:tc>
          <w:tcPr>
            <w:tcW w:type="dxa" w:w="336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Yes</w:t>
            </w:r>
          </w:p>
        </w:tc>
      </w:tr>
      <w:tr>
        <w:trPr>
          <w:tblHeader w:val="false"/>
        </w:trPr>
        <w:tc>
          <w:tcPr>
            <w:tcW w:type="dxa" w:w="4306"/>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int_emoliate_baby</w:t>
            </w:r>
          </w:p>
        </w:tc>
        <w:tc>
          <w:tcPr>
            <w:tcW w:type="dxa" w:w="1685"/>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w:t>
            </w:r>
          </w:p>
        </w:tc>
        <w:tc>
          <w:tcPr>
            <w:tcW w:type="dxa" w:w="3369"/>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No</w:t>
            </w:r>
          </w:p>
        </w:tc>
      </w:tr>
      <w:tr>
        <w:trPr>
          <w:tblHeader w:val="false"/>
        </w:trPr>
        <w:tc>
          <w:tcPr>
            <w:tcW w:type="dxa" w:w="4306"/>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int_emoliate_baby</w:t>
            </w:r>
          </w:p>
        </w:tc>
        <w:tc>
          <w:tcPr>
            <w:tcW w:type="dxa" w:w="168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NI</w:t>
            </w:r>
          </w:p>
        </w:tc>
        <w:tc>
          <w:tcPr>
            <w:tcW w:type="dxa" w:w="3369"/>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Not investigated</w:t>
            </w:r>
          </w:p>
        </w:tc>
      </w:tr>
    </w:tbl>
    <w:p>
      <w:pPr>
        <w:spacing w:after="120"/>
      </w:pPr>
      <w:r>
        <w:rPr>
          <w:rFonts w:ascii="Arial" w:cs="Arial" w:eastAsia="Arial" w:hAnsi="Arial"/>
          <w:sz w:val="20"/>
          <w:szCs w:val="20"/>
        </w:rPr>
        <w:t xml:space="preserve">The full lookup is in &lt;name&gt;_choices.csv, one row per code.</w:t>
      </w:r>
    </w:p>
    <w:p>
      <w:pPr>
        <w:pStyle w:val="Heading2"/>
        <w:spacing w:after="120" w:before="240"/>
      </w:pPr>
      <w:r>
        <w:rPr>
          <w:rFonts w:ascii="Arial" w:cs="Arial" w:eastAsia="Arial" w:hAnsi="Arial"/>
          <w:b/>
          <w:bCs/>
          <w:color w:val="2E74B5"/>
          <w:sz w:val="23"/>
          <w:szCs w:val="23"/>
        </w:rPr>
        <w:t xml:space="preserve">6.1 Three rules that prevent wrong answers</w:t>
      </w:r>
    </w:p>
    <w:p>
      <w:pPr>
        <w:pStyle w:val="ListParagraph"/>
        <w:numPr>
          <w:ilvl w:val="0"/>
          <w:numId w:val="4"/>
        </w:numPr>
        <w:spacing w:after="80"/>
      </w:pPr>
      <w:r>
        <w:rPr>
          <w:rFonts w:ascii="Arial" w:cs="Arial" w:eastAsia="Arial" w:hAnsi="Arial"/>
          <w:sz w:val="20"/>
          <w:szCs w:val="20"/>
        </w:rPr>
        <w:t xml:space="preserve">Blank is not zero and not "No". A blank means the question was never answered, most often because branching logic hid it. The branching_logic column in the codebook states the condition under which a field was shown at all.</w:t>
      </w:r>
    </w:p>
    <w:p>
      <w:pPr>
        <w:pStyle w:val="ListParagraph"/>
        <w:numPr>
          <w:ilvl w:val="0"/>
          <w:numId w:val="4"/>
        </w:numPr>
        <w:spacing w:after="80"/>
      </w:pPr>
      <w:r>
        <w:rPr>
          <w:rFonts w:ascii="Arial" w:cs="Arial" w:eastAsia="Arial" w:hAnsi="Arial"/>
          <w:sz w:val="20"/>
          <w:szCs w:val="20"/>
        </w:rPr>
        <w:t xml:space="preserve">NI is its own value. It means not investigated. Folding it into N overstates the negative — only an exact "N" is a no, and only an exact "Y" is a yes.</w:t>
      </w:r>
    </w:p>
    <w:p>
      <w:pPr>
        <w:pStyle w:val="ListParagraph"/>
        <w:numPr>
          <w:ilvl w:val="0"/>
          <w:numId w:val="4"/>
        </w:numPr>
        <w:spacing w:after="80"/>
      </w:pPr>
      <w:r>
        <w:rPr>
          <w:rFonts w:ascii="Arial" w:cs="Arial" w:eastAsia="Arial" w:hAnsi="Arial"/>
          <w:sz w:val="20"/>
          <w:szCs w:val="20"/>
        </w:rPr>
        <w:t xml:space="preserve">Checkbox columns are all zero both when nothing was selected AND when the question was never reached. The two are indistinguishable without checking the branching condition.</w:t>
      </w:r>
    </w:p>
    <w:p>
      <w:pPr>
        <w:pStyle w:val="Heading2"/>
        <w:spacing w:after="120" w:before="240"/>
      </w:pPr>
      <w:r>
        <w:rPr>
          <w:rFonts w:ascii="Arial" w:cs="Arial" w:eastAsia="Arial" w:hAnsi="Arial"/>
          <w:b/>
          <w:bCs/>
          <w:color w:val="2E74B5"/>
          <w:sz w:val="23"/>
          <w:szCs w:val="23"/>
        </w:rPr>
        <w:t xml:space="preserve">6.2 Decoding in R</w:t>
      </w:r>
    </w:p>
    <w:p>
      <w:pPr>
        <w:shd w:fill="F2F2F2" w:val="clear"/>
        <w:spacing w:after="60"/>
      </w:pPr>
      <w:r>
        <w:rPr>
          <w:rFonts w:ascii="Courier New" w:cs="Courier New" w:eastAsia="Courier New" w:hAnsi="Courier New"/>
          <w:sz w:val="16"/>
          <w:szCs w:val="16"/>
        </w:rPr>
        <w:t xml:space="preserve">ch &lt;- read.csv("emol_choices.csv")</w:t>
      </w:r>
    </w:p>
    <w:p>
      <w:pPr>
        <w:shd w:fill="F2F2F2" w:val="clear"/>
        <w:spacing w:after="60"/>
      </w:pPr>
      <w:r>
        <w:rPr>
          <w:rFonts w:ascii="Courier New" w:cs="Courier New" w:eastAsia="Courier New" w:hAnsi="Courier New"/>
          <w:sz w:val="16"/>
          <w:szCs w:val="16"/>
        </w:rPr>
        <w:t xml:space="preserve">decode &lt;- function(x, field) {</w:t>
      </w:r>
    </w:p>
    <w:p>
      <w:pPr>
        <w:shd w:fill="F2F2F2" w:val="clear"/>
        <w:spacing w:after="60"/>
      </w:pPr>
      <w:r>
        <w:rPr>
          <w:rFonts w:ascii="Courier New" w:cs="Courier New" w:eastAsia="Courier New" w:hAnsi="Courier New"/>
          <w:sz w:val="16"/>
          <w:szCs w:val="16"/>
        </w:rPr>
        <w:t xml:space="preserve">  m &lt;- ch[ch$field_name == field, ]</w:t>
      </w:r>
    </w:p>
    <w:p>
      <w:pPr>
        <w:shd w:fill="F2F2F2" w:val="clear"/>
        <w:spacing w:after="60"/>
      </w:pPr>
      <w:r>
        <w:rPr>
          <w:rFonts w:ascii="Courier New" w:cs="Courier New" w:eastAsia="Courier New" w:hAnsi="Courier New"/>
          <w:sz w:val="16"/>
          <w:szCs w:val="16"/>
        </w:rPr>
        <w:t xml:space="preserve">  setNames(m$meaning, m$code)[as.character(x)]</w:t>
      </w:r>
    </w:p>
    <w:p>
      <w:pPr>
        <w:shd w:fill="F2F2F2" w:val="clear"/>
        <w:spacing w:after="60"/>
      </w:pPr>
      <w:r>
        <w:rPr>
          <w:rFonts w:ascii="Courier New" w:cs="Courier New" w:eastAsia="Courier New" w:hAnsi="Courier New"/>
          <w:sz w:val="16"/>
          <w:szCs w:val="16"/>
        </w:rPr>
        <w:t xml:space="preserve">}</w:t>
      </w:r>
    </w:p>
    <w:p>
      <w:pPr>
        <w:shd w:fill="F2F2F2" w:val="clear"/>
        <w:spacing w:after="60"/>
      </w:pPr>
      <w:r>
        <w:rPr>
          <w:rFonts w:ascii="Courier New" w:cs="Courier New" w:eastAsia="Courier New" w:hAnsi="Courier New"/>
          <w:sz w:val="16"/>
          <w:szCs w:val="16"/>
        </w:rPr>
        <w:t xml:space="preserve">d$emol_d1 &lt;- decode(</w:t>
      </w:r>
    </w:p>
    <w:p>
      <w:pPr>
        <w:shd w:fill="F2F2F2" w:val="clear"/>
        <w:spacing w:after="60"/>
      </w:pPr>
      <w:r>
        <w:rPr>
          <w:rFonts w:ascii="Courier New" w:cs="Courier New" w:eastAsia="Courier New" w:hAnsi="Courier New"/>
          <w:sz w:val="16"/>
          <w:szCs w:val="16"/>
        </w:rPr>
        <w:t xml:space="preserve">  d$day1_arm_1_daily_interventionemolliation_form_1_int_emoliate_baby,</w:t>
      </w:r>
    </w:p>
    <w:p>
      <w:pPr>
        <w:shd w:fill="F2F2F2" w:val="clear"/>
        <w:spacing w:after="60"/>
      </w:pPr>
      <w:r>
        <w:rPr>
          <w:rFonts w:ascii="Courier New" w:cs="Courier New" w:eastAsia="Courier New" w:hAnsi="Courier New"/>
          <w:sz w:val="16"/>
          <w:szCs w:val="16"/>
        </w:rPr>
        <w:t xml:space="preserve">  "int_emoliate_baby")</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7. The companion metadata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File</w:t>
            </w:r>
          </w:p>
        </w:tc>
        <w:tc>
          <w:tcPr>
            <w:tcW w:type="dxa" w:w="6552"/>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Contents</w:t>
            </w:r>
          </w:p>
        </w:tc>
      </w:tr>
      <w:tr>
        <w:trPr>
          <w:tblHeader w:val="false"/>
        </w:trPr>
        <w:tc>
          <w:tcPr>
            <w:tcW w:type="dxa" w:w="280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&lt;name&gt;_codebook.csv</w:t>
            </w:r>
          </w:p>
        </w:tc>
        <w:tc>
          <w:tcPr>
            <w:tcW w:type="dxa" w:w="655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One row per wide column: event, form, instance, field name, question label, field type, answer options, validation rule, and branching logic.</w:t>
            </w:r>
          </w:p>
        </w:tc>
      </w:tr>
      <w:tr>
        <w:trPr>
          <w:tblHeader w:val="false"/>
        </w:trPr>
        <w:tc>
          <w:tcPr>
            <w:tcW w:type="dxa" w:w="2808"/>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&lt;name&gt;_labels.csv</w:t>
            </w:r>
          </w:p>
        </w:tc>
        <w:tc>
          <w:tcPr>
            <w:tcW w:type="dxa" w:w="655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 single line — the question labels in wide-column order.</w:t>
            </w:r>
          </w:p>
        </w:tc>
      </w:tr>
      <w:tr>
        <w:trPr>
          <w:tblHeader w:val="false"/>
        </w:trPr>
        <w:tc>
          <w:tcPr>
            <w:tcW w:type="dxa" w:w="2808"/>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&lt;name&gt;_choices.csv</w:t>
            </w:r>
          </w:p>
        </w:tc>
        <w:tc>
          <w:tcPr>
            <w:tcW w:type="dxa" w:w="655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One row per coded answer: field, code, meaning.</w:t>
            </w:r>
          </w:p>
        </w:tc>
      </w:tr>
    </w:tbl>
    <w:p>
      <w:pPr>
        <w:pStyle w:val="Heading2"/>
        <w:spacing w:after="120" w:before="240"/>
      </w:pPr>
      <w:r>
        <w:rPr>
          <w:rFonts w:ascii="Arial" w:cs="Arial" w:eastAsia="Arial" w:hAnsi="Arial"/>
          <w:b/>
          <w:bCs/>
          <w:color w:val="2E74B5"/>
          <w:sz w:val="23"/>
          <w:szCs w:val="23"/>
        </w:rPr>
        <w:t xml:space="preserve">7.1 Using labels as a second header row</w:t>
      </w:r>
    </w:p>
    <w:p>
      <w:pPr>
        <w:spacing w:after="120"/>
      </w:pPr>
      <w:r>
        <w:rPr>
          <w:rFonts w:ascii="Arial" w:cs="Arial" w:eastAsia="Arial" w:hAnsi="Arial"/>
          <w:sz w:val="20"/>
          <w:szCs w:val="20"/>
        </w:rPr>
        <w:t xml:space="preserve">The labels file is aligned to the dump’s columns, so it can be inserted as a second header:</w:t>
      </w:r>
    </w:p>
    <w:p>
      <w:pPr>
        <w:shd w:fill="F2F2F2" w:val="clear"/>
        <w:spacing w:after="60"/>
      </w:pPr>
      <w:r>
        <w:rPr>
          <w:rFonts w:ascii="Courier New" w:cs="Courier New" w:eastAsia="Courier New" w:hAnsi="Courier New"/>
          <w:sz w:val="16"/>
          <w:szCs w:val="16"/>
        </w:rPr>
        <w:t xml:space="preserve">head -1 wide.csv        &gt;  wide_2row.csv    # machine names</w:t>
      </w:r>
    </w:p>
    <w:p>
      <w:pPr>
        <w:shd w:fill="F2F2F2" w:val="clear"/>
        <w:spacing w:after="60"/>
      </w:pPr>
      <w:r>
        <w:rPr>
          <w:rFonts w:ascii="Courier New" w:cs="Courier New" w:eastAsia="Courier New" w:hAnsi="Courier New"/>
          <w:sz w:val="16"/>
          <w:szCs w:val="16"/>
        </w:rPr>
        <w:t xml:space="preserve">cat emol_labels.csv     &gt;&gt; wide_2row.csv    # human questions</w:t>
      </w:r>
    </w:p>
    <w:p>
      <w:pPr>
        <w:shd w:fill="F2F2F2" w:val="clear"/>
        <w:spacing w:after="60"/>
      </w:pPr>
      <w:r>
        <w:rPr>
          <w:rFonts w:ascii="Courier New" w:cs="Courier New" w:eastAsia="Courier New" w:hAnsi="Courier New"/>
          <w:sz w:val="16"/>
          <w:szCs w:val="16"/>
        </w:rPr>
        <w:t xml:space="preserve">tail -n +2 wide.csv     &gt;&gt; wide_2row.csv    # data</w:t>
      </w:r>
    </w:p>
    <w:p>
      <w:pPr>
        <w:spacing w:after="120"/>
      </w:pPr>
      <w:r>
        <w:rPr>
          <w:rFonts w:ascii="Arial" w:cs="Arial" w:eastAsia="Arial" w:hAnsi="Arial"/>
          <w:b/>
          <w:bCs/>
          <w:color w:val="C00000"/>
          <w:sz w:val="20"/>
          <w:szCs w:val="20"/>
        </w:rPr>
        <w:t xml:space="preserve">Do this for reading, not for analysis. A two-row header breaks read.csv, pandas.read_csv and every other loader, because the second row is text and forces every column to character type.</w:t>
      </w:r>
    </w:p>
    <w:p>
      <w:pPr>
        <w:spacing w:after="120"/>
      </w:pPr>
      <w:r>
        <w:rPr>
          <w:rFonts w:ascii="Arial" w:cs="Arial" w:eastAsia="Arial" w:hAnsi="Arial"/>
          <w:sz w:val="20"/>
          <w:szCs w:val="20"/>
        </w:rPr>
        <w:t xml:space="preserve">Keep the dump machine-readable and attach labels as metadata instead:</w:t>
      </w:r>
    </w:p>
    <w:p>
      <w:pPr>
        <w:shd w:fill="F2F2F2" w:val="clear"/>
        <w:spacing w:after="60"/>
      </w:pPr>
      <w:r>
        <w:rPr>
          <w:rFonts w:ascii="Courier New" w:cs="Courier New" w:eastAsia="Courier New" w:hAnsi="Courier New"/>
          <w:sz w:val="16"/>
          <w:szCs w:val="16"/>
        </w:rPr>
        <w:t xml:space="preserve">d   &lt;- read.csv("wide.csv", check.names = FALSE)</w:t>
      </w:r>
    </w:p>
    <w:p>
      <w:pPr>
        <w:shd w:fill="F2F2F2" w:val="clear"/>
        <w:spacing w:after="60"/>
      </w:pPr>
      <w:r>
        <w:rPr>
          <w:rFonts w:ascii="Courier New" w:cs="Courier New" w:eastAsia="Courier New" w:hAnsi="Courier New"/>
          <w:sz w:val="16"/>
          <w:szCs w:val="16"/>
        </w:rPr>
        <w:t xml:space="preserve">cb  &lt;- read.csv("emol_codebook.csv")</w:t>
      </w:r>
    </w:p>
    <w:p>
      <w:pPr>
        <w:shd w:fill="F2F2F2" w:val="clear"/>
        <w:spacing w:after="60"/>
      </w:pPr>
      <w:r>
        <w:rPr>
          <w:rFonts w:ascii="Courier New" w:cs="Courier New" w:eastAsia="Courier New" w:hAnsi="Courier New"/>
          <w:sz w:val="16"/>
          <w:szCs w:val="16"/>
        </w:rPr>
        <w:t xml:space="preserve">lbl &lt;- setNames(cb$question_label, cb$column_name)</w:t>
      </w:r>
    </w:p>
    <w:p>
      <w:pPr>
        <w:shd w:fill="F2F2F2" w:val="clear"/>
        <w:spacing w:after="60"/>
      </w:pPr>
      <w:r>
        <w:rPr>
          <w:rFonts w:ascii="Courier New" w:cs="Courier New" w:eastAsia="Courier New" w:hAnsi="Courier New"/>
          <w:sz w:val="16"/>
          <w:szCs w:val="16"/>
        </w:rPr>
        <w:t xml:space="preserve">attr(d, "labels") &lt;- lbl[names(d)]</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8. Totals across repeating instances</w:t>
      </w:r>
    </w:p>
    <w:p>
      <w:pPr>
        <w:spacing w:after="120"/>
      </w:pPr>
      <w:r>
        <w:rPr>
          <w:rFonts w:ascii="Arial" w:cs="Arial" w:eastAsia="Arial" w:hAnsi="Arial"/>
          <w:sz w:val="20"/>
          <w:szCs w:val="20"/>
        </w:rPr>
        <w:t xml:space="preserve">Counting anything that repeats means summing the instance columns. The pattern is always: build a regex on {event}_{form}_{instance}_{field}, then rowSums.</w:t>
      </w:r>
    </w:p>
    <w:p>
      <w:pPr>
        <w:pStyle w:val="Heading2"/>
        <w:spacing w:after="120" w:before="240"/>
      </w:pPr>
      <w:r>
        <w:rPr>
          <w:rFonts w:ascii="Arial" w:cs="Arial" w:eastAsia="Arial" w:hAnsi="Arial"/>
          <w:b/>
          <w:bCs/>
          <w:color w:val="2E74B5"/>
          <w:sz w:val="23"/>
          <w:szCs w:val="23"/>
        </w:rPr>
        <w:t xml:space="preserve">8.1 Sessions on one day</w:t>
      </w:r>
    </w:p>
    <w:p>
      <w:pPr>
        <w:shd w:fill="F2F2F2" w:val="clear"/>
        <w:spacing w:after="60"/>
      </w:pPr>
      <w:r>
        <w:rPr>
          <w:rFonts w:ascii="Courier New" w:cs="Courier New" w:eastAsia="Courier New" w:hAnsi="Courier New"/>
          <w:sz w:val="16"/>
          <w:szCs w:val="16"/>
        </w:rPr>
        <w:t xml:space="preserve">cols &lt;- grep("^day1_arm_1_daily_interventionemolliation_form_[0-9]+_int_emoliate_baby$",</w:t>
      </w:r>
    </w:p>
    <w:p>
      <w:pPr>
        <w:shd w:fill="F2F2F2" w:val="clear"/>
        <w:spacing w:after="60"/>
      </w:pPr>
      <w:r>
        <w:rPr>
          <w:rFonts w:ascii="Courier New" w:cs="Courier New" w:eastAsia="Courier New" w:hAnsi="Courier New"/>
          <w:sz w:val="16"/>
          <w:szCs w:val="16"/>
        </w:rPr>
        <w:t xml:space="preserve">             names(d), value = TRUE)</w:t>
      </w:r>
    </w:p>
    <w:p>
      <w:pPr>
        <w:shd w:fill="F2F2F2" w:val="clear"/>
        <w:spacing w:after="60"/>
      </w:pPr>
      <w:r>
        <w:rPr>
          <w:rFonts w:ascii="Courier New" w:cs="Courier New" w:eastAsia="Courier New" w:hAnsi="Courier New"/>
          <w:sz w:val="16"/>
          <w:szCs w:val="16"/>
        </w:rPr>
        <w:t xml:space="preserve">d$sessions_day1 &lt;- rowSums(d[cols] == "Y", na.rm = TRUE)</w:t>
      </w:r>
    </w:p>
    <w:p>
      <w:pPr>
        <w:pStyle w:val="Heading2"/>
        <w:spacing w:after="120" w:before="240"/>
      </w:pPr>
      <w:r>
        <w:rPr>
          <w:rFonts w:ascii="Arial" w:cs="Arial" w:eastAsia="Arial" w:hAnsi="Arial"/>
          <w:b/>
          <w:bCs/>
          <w:color w:val="2E74B5"/>
          <w:sz w:val="23"/>
          <w:szCs w:val="23"/>
        </w:rPr>
        <w:t xml:space="preserve">8.2 Sessions across the whole stay</w:t>
      </w:r>
    </w:p>
    <w:p>
      <w:pPr>
        <w:shd w:fill="F2F2F2" w:val="clear"/>
        <w:spacing w:after="60"/>
      </w:pPr>
      <w:r>
        <w:rPr>
          <w:rFonts w:ascii="Courier New" w:cs="Courier New" w:eastAsia="Courier New" w:hAnsi="Courier New"/>
          <w:sz w:val="16"/>
          <w:szCs w:val="16"/>
        </w:rPr>
        <w:t xml:space="preserve">cols &lt;- grep("^day[0-9]+_arm_1_daily_interventionemolliation_form_[0-9]+_int_emoliate_baby$",</w:t>
      </w:r>
    </w:p>
    <w:p>
      <w:pPr>
        <w:shd w:fill="F2F2F2" w:val="clear"/>
        <w:spacing w:after="60"/>
      </w:pPr>
      <w:r>
        <w:rPr>
          <w:rFonts w:ascii="Courier New" w:cs="Courier New" w:eastAsia="Courier New" w:hAnsi="Courier New"/>
          <w:sz w:val="16"/>
          <w:szCs w:val="16"/>
        </w:rPr>
        <w:t xml:space="preserve">             names(d), value = TRUE)</w:t>
      </w:r>
    </w:p>
    <w:p>
      <w:pPr>
        <w:shd w:fill="F2F2F2" w:val="clear"/>
        <w:spacing w:after="60"/>
      </w:pPr>
      <w:r>
        <w:rPr>
          <w:rFonts w:ascii="Courier New" w:cs="Courier New" w:eastAsia="Courier New" w:hAnsi="Courier New"/>
          <w:sz w:val="16"/>
          <w:szCs w:val="16"/>
        </w:rPr>
        <w:t xml:space="preserve">d$sessions_total &lt;- rowSums(d[cols] == "Y", na.rm = TRUE)</w:t>
      </w:r>
    </w:p>
    <w:p>
      <w:pPr>
        <w:pStyle w:val="Heading2"/>
        <w:spacing w:after="120" w:before="240"/>
      </w:pPr>
      <w:r>
        <w:rPr>
          <w:rFonts w:ascii="Arial" w:cs="Arial" w:eastAsia="Arial" w:hAnsi="Arial"/>
          <w:b/>
          <w:bCs/>
          <w:color w:val="2E74B5"/>
          <w:sz w:val="23"/>
          <w:szCs w:val="23"/>
        </w:rPr>
        <w:t xml:space="preserve">8.3 A numeric total, e.g. oil used</w:t>
      </w:r>
    </w:p>
    <w:p>
      <w:pPr>
        <w:shd w:fill="F2F2F2" w:val="clear"/>
        <w:spacing w:after="60"/>
      </w:pPr>
      <w:r>
        <w:rPr>
          <w:rFonts w:ascii="Courier New" w:cs="Courier New" w:eastAsia="Courier New" w:hAnsi="Courier New"/>
          <w:sz w:val="16"/>
          <w:szCs w:val="16"/>
        </w:rPr>
        <w:t xml:space="preserve">cols &lt;- grep("_daily_interventionemolliation_form_[0-9]+_int_oil_qty$",</w:t>
      </w:r>
    </w:p>
    <w:p>
      <w:pPr>
        <w:shd w:fill="F2F2F2" w:val="clear"/>
        <w:spacing w:after="60"/>
      </w:pPr>
      <w:r>
        <w:rPr>
          <w:rFonts w:ascii="Courier New" w:cs="Courier New" w:eastAsia="Courier New" w:hAnsi="Courier New"/>
          <w:sz w:val="16"/>
          <w:szCs w:val="16"/>
        </w:rPr>
        <w:t xml:space="preserve">             names(d), value = TRUE)</w:t>
      </w:r>
    </w:p>
    <w:p>
      <w:pPr>
        <w:shd w:fill="F2F2F2" w:val="clear"/>
        <w:spacing w:after="60"/>
      </w:pPr>
      <w:r>
        <w:rPr>
          <w:rFonts w:ascii="Courier New" w:cs="Courier New" w:eastAsia="Courier New" w:hAnsi="Courier New"/>
          <w:sz w:val="16"/>
          <w:szCs w:val="16"/>
        </w:rPr>
        <w:t xml:space="preserve">d$oil_total &lt;- rowSums(sapply(d[cols], as.numeric), na.rm = TRUE)</w:t>
      </w:r>
    </w:p>
    <w:p>
      <w:pPr>
        <w:pStyle w:val="Heading2"/>
        <w:spacing w:after="120" w:before="240"/>
      </w:pPr>
      <w:r>
        <w:rPr>
          <w:rFonts w:ascii="Arial" w:cs="Arial" w:eastAsia="Arial" w:hAnsi="Arial"/>
          <w:b/>
          <w:bCs/>
          <w:color w:val="2E74B5"/>
          <w:sz w:val="23"/>
          <w:szCs w:val="23"/>
        </w:rPr>
        <w:t xml:space="preserve">8.4 Days with at least one session</w:t>
      </w:r>
    </w:p>
    <w:p>
      <w:pPr>
        <w:spacing w:after="120"/>
      </w:pPr>
      <w:r>
        <w:rPr>
          <w:rFonts w:ascii="Arial" w:cs="Arial" w:eastAsia="Arial" w:hAnsi="Arial"/>
          <w:sz w:val="20"/>
          <w:szCs w:val="20"/>
        </w:rPr>
        <w:t xml:space="preserve">A day counts once however many instances it holds:</w:t>
      </w:r>
    </w:p>
    <w:p>
      <w:pPr>
        <w:shd w:fill="F2F2F2" w:val="clear"/>
        <w:spacing w:after="60"/>
      </w:pPr>
      <w:r>
        <w:rPr>
          <w:rFonts w:ascii="Courier New" w:cs="Courier New" w:eastAsia="Courier New" w:hAnsi="Courier New"/>
          <w:sz w:val="16"/>
          <w:szCs w:val="16"/>
        </w:rPr>
        <w:t xml:space="preserve">days &lt;- sprintf("day%d_arm_1", 0:28)</w:t>
      </w:r>
    </w:p>
    <w:p>
      <w:pPr>
        <w:shd w:fill="F2F2F2" w:val="clear"/>
        <w:spacing w:after="60"/>
      </w:pPr>
      <w:r>
        <w:rPr>
          <w:rFonts w:ascii="Courier New" w:cs="Courier New" w:eastAsia="Courier New" w:hAnsi="Courier New"/>
          <w:sz w:val="16"/>
          <w:szCs w:val="16"/>
        </w:rPr>
        <w:t xml:space="preserve">d$days_emolliated &lt;- rowSums(sapply(days, function(ev) {</w:t>
      </w:r>
    </w:p>
    <w:p>
      <w:pPr>
        <w:shd w:fill="F2F2F2" w:val="clear"/>
        <w:spacing w:after="60"/>
      </w:pPr>
      <w:r>
        <w:rPr>
          <w:rFonts w:ascii="Courier New" w:cs="Courier New" w:eastAsia="Courier New" w:hAnsi="Courier New"/>
          <w:sz w:val="16"/>
          <w:szCs w:val="16"/>
        </w:rPr>
        <w:t xml:space="preserve">  cols &lt;- grep(paste0("^", ev,</w:t>
      </w:r>
    </w:p>
    <w:p>
      <w:pPr>
        <w:shd w:fill="F2F2F2" w:val="clear"/>
        <w:spacing w:after="60"/>
      </w:pPr>
      <w:r>
        <w:rPr>
          <w:rFonts w:ascii="Courier New" w:cs="Courier New" w:eastAsia="Courier New" w:hAnsi="Courier New"/>
          <w:sz w:val="16"/>
          <w:szCs w:val="16"/>
        </w:rPr>
        <w:t xml:space="preserve">    "_daily_interventionemolliation_form_[0-9]+_int_emoliate_baby$"),</w:t>
      </w:r>
    </w:p>
    <w:p>
      <w:pPr>
        <w:shd w:fill="F2F2F2" w:val="clear"/>
        <w:spacing w:after="60"/>
      </w:pPr>
      <w:r>
        <w:rPr>
          <w:rFonts w:ascii="Courier New" w:cs="Courier New" w:eastAsia="Courier New" w:hAnsi="Courier New"/>
          <w:sz w:val="16"/>
          <w:szCs w:val="16"/>
        </w:rPr>
        <w:t xml:space="preserve">    names(d), value = TRUE)</w:t>
      </w:r>
    </w:p>
    <w:p>
      <w:pPr>
        <w:shd w:fill="F2F2F2" w:val="clear"/>
        <w:spacing w:after="60"/>
      </w:pPr>
      <w:r>
        <w:rPr>
          <w:rFonts w:ascii="Courier New" w:cs="Courier New" w:eastAsia="Courier New" w:hAnsi="Courier New"/>
          <w:sz w:val="16"/>
          <w:szCs w:val="16"/>
        </w:rPr>
        <w:t xml:space="preserve">  if (!length(cols)) return(rep(0, nrow(d)))</w:t>
      </w:r>
    </w:p>
    <w:p>
      <w:pPr>
        <w:shd w:fill="F2F2F2" w:val="clear"/>
        <w:spacing w:after="60"/>
      </w:pPr>
      <w:r>
        <w:rPr>
          <w:rFonts w:ascii="Courier New" w:cs="Courier New" w:eastAsia="Courier New" w:hAnsi="Courier New"/>
          <w:sz w:val="16"/>
          <w:szCs w:val="16"/>
        </w:rPr>
        <w:t xml:space="preserve">  as.integer(rowSums(d[cols] == "Y", na.rm = TRUE) &gt; 0)</w:t>
      </w:r>
    </w:p>
    <w:p>
      <w:pPr>
        <w:shd w:fill="F2F2F2" w:val="clear"/>
        <w:spacing w:after="60"/>
      </w:pPr>
      <w:r>
        <w:rPr>
          <w:rFonts w:ascii="Courier New" w:cs="Courier New" w:eastAsia="Courier New" w:hAnsi="Courier New"/>
          <w:sz w:val="16"/>
          <w:szCs w:val="16"/>
        </w:rPr>
        <w:t xml:space="preserve">}))</w:t>
      </w:r>
    </w:p>
    <w:p>
      <w:pPr>
        <w:pStyle w:val="Heading2"/>
        <w:spacing w:after="120" w:before="240"/>
      </w:pPr>
      <w:r>
        <w:rPr>
          <w:rFonts w:ascii="Arial" w:cs="Arial" w:eastAsia="Arial" w:hAnsi="Arial"/>
          <w:b/>
          <w:bCs/>
          <w:color w:val="2E74B5"/>
          <w:sz w:val="23"/>
          <w:szCs w:val="23"/>
        </w:rPr>
        <w:t xml:space="preserve">8.5 Adherence</w:t>
      </w:r>
    </w:p>
    <w:p>
      <w:pPr>
        <w:spacing w:after="120"/>
      </w:pPr>
      <w:r>
        <w:rPr>
          <w:rFonts w:ascii="Arial" w:cs="Arial" w:eastAsia="Arial" w:hAnsi="Arial"/>
          <w:sz w:val="20"/>
          <w:szCs w:val="20"/>
        </w:rPr>
        <w:t xml:space="preserve">Sessions done over sessions possible. Day 0 allows 2 and days 1 to 28 allow 3, so a full 29-day stay permits 86. Adjust the denominator for actual length of stay.</w:t>
      </w:r>
    </w:p>
    <w:p>
      <w:pPr>
        <w:shd w:fill="F2F2F2" w:val="clear"/>
        <w:spacing w:after="60"/>
      </w:pPr>
      <w:r>
        <w:rPr>
          <w:rFonts w:ascii="Courier New" w:cs="Courier New" w:eastAsia="Courier New" w:hAnsi="Courier New"/>
          <w:sz w:val="16"/>
          <w:szCs w:val="16"/>
        </w:rPr>
        <w:t xml:space="preserve">d$sessions_possible &lt;- 2 + 3 * 28</w:t>
      </w:r>
    </w:p>
    <w:p>
      <w:pPr>
        <w:shd w:fill="F2F2F2" w:val="clear"/>
        <w:spacing w:after="60"/>
      </w:pPr>
      <w:r>
        <w:rPr>
          <w:rFonts w:ascii="Courier New" w:cs="Courier New" w:eastAsia="Courier New" w:hAnsi="Courier New"/>
          <w:sz w:val="16"/>
          <w:szCs w:val="16"/>
        </w:rPr>
        <w:t xml:space="preserve">d$adherence &lt;- d$sessions_total / d$sessions_possible</w:t>
      </w:r>
    </w:p>
    <w:p>
      <w:pPr>
        <w:pStyle w:val="Heading2"/>
        <w:spacing w:after="120" w:before="240"/>
      </w:pPr>
      <w:r>
        <w:rPr>
          <w:rFonts w:ascii="Arial" w:cs="Arial" w:eastAsia="Arial" w:hAnsi="Arial"/>
          <w:b/>
          <w:bCs/>
          <w:color w:val="2E74B5"/>
          <w:sz w:val="23"/>
          <w:szCs w:val="23"/>
        </w:rPr>
        <w:t xml:space="preserve">8.6 Always anchor the regex</w:t>
      </w:r>
    </w:p>
    <w:p>
      <w:pPr>
        <w:spacing w:after="120"/>
      </w:pPr>
      <w:r>
        <w:rPr>
          <w:rFonts w:ascii="Arial" w:cs="Arial" w:eastAsia="Arial" w:hAnsi="Arial"/>
          <w:b/>
          <w:bCs/>
          <w:sz w:val="20"/>
          <w:szCs w:val="20"/>
        </w:rPr>
        <w:t xml:space="preserve">Use ^ and $. An unanchored pattern for int_emoliate_baby will also match int_emoliate_baby_reason and any other field sharing the prefix, silently inflating the total.</w:t>
      </w:r>
    </w:p>
    <w:p>
      <w:pPr>
        <w:pStyle w:val="Heading2"/>
        <w:spacing w:after="120" w:before="240"/>
      </w:pPr>
      <w:r>
        <w:rPr>
          <w:rFonts w:ascii="Arial" w:cs="Arial" w:eastAsia="Arial" w:hAnsi="Arial"/>
          <w:b/>
          <w:bCs/>
          <w:color w:val="2E74B5"/>
          <w:sz w:val="23"/>
          <w:szCs w:val="23"/>
        </w:rPr>
        <w:t xml:space="preserve">8.7 Cross-check every derived total</w:t>
      </w:r>
    </w:p>
    <w:p>
      <w:pPr>
        <w:spacing w:after="120"/>
      </w:pPr>
      <w:r>
        <w:rPr>
          <w:rFonts w:ascii="Arial" w:cs="Arial" w:eastAsia="Arial" w:hAnsi="Arial"/>
          <w:sz w:val="20"/>
          <w:szCs w:val="20"/>
        </w:rPr>
        <w:t xml:space="preserve">The long file needs no reshaping, so it is the natural control. These two must agree:</w:t>
      </w:r>
    </w:p>
    <w:p>
      <w:pPr>
        <w:shd w:fill="F2F2F2" w:val="clear"/>
        <w:spacing w:after="60"/>
      </w:pPr>
      <w:r>
        <w:rPr>
          <w:rFonts w:ascii="Courier New" w:cs="Courier New" w:eastAsia="Courier New" w:hAnsi="Courier New"/>
          <w:sz w:val="16"/>
          <w:szCs w:val="16"/>
        </w:rPr>
        <w:t xml:space="preserve">long &lt;- read.csv("raw.csv")</w:t>
      </w:r>
    </w:p>
    <w:p>
      <w:pPr>
        <w:shd w:fill="F2F2F2" w:val="clear"/>
        <w:spacing w:after="60"/>
      </w:pPr>
      <w:r>
        <w:rPr>
          <w:rFonts w:ascii="Courier New" w:cs="Courier New" w:eastAsia="Courier New" w:hAnsi="Courier New"/>
          <w:sz w:val="16"/>
          <w:szCs w:val="16"/>
        </w:rPr>
        <w:t xml:space="preserve">sum(long$int_emoliate_baby == "Y", na.rm = TRUE)</w:t>
      </w:r>
    </w:p>
    <w:p>
      <w:pPr>
        <w:shd w:fill="F2F2F2" w:val="clear"/>
        <w:spacing w:after="60"/>
      </w:pPr>
      <w:r>
        <w:rPr>
          <w:rFonts w:ascii="Courier New" w:cs="Courier New" w:eastAsia="Courier New" w:hAnsi="Courier New"/>
          <w:sz w:val="16"/>
          <w:szCs w:val="16"/>
        </w:rPr>
        <w:t xml:space="preserve">sum(d$sessions_total)</w:t>
      </w:r>
    </w:p>
    <w:p>
      <w:pPr>
        <w:spacing w:after="120"/>
      </w:pPr>
      <w:r>
        <w:rPr>
          <w:rFonts w:ascii="Arial" w:cs="Arial" w:eastAsia="Arial" w:hAnsi="Arial"/>
          <w:sz w:val="20"/>
          <w:szCs w:val="20"/>
        </w:rPr>
        <w:t xml:space="preserve">If they disagree, the regex is wrong — not the export.</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9. Practical limits</w:t>
      </w:r>
    </w:p>
    <w:p>
      <w:pPr>
        <w:pStyle w:val="ListParagraph"/>
        <w:numPr>
          <w:ilvl w:val="0"/>
          <w:numId w:val="3"/>
        </w:numPr>
        <w:spacing w:after="80"/>
      </w:pPr>
      <w:r>
        <w:rPr>
          <w:rFonts w:ascii="Arial" w:cs="Arial" w:eastAsia="Arial" w:hAnsi="Arial"/>
          <w:sz w:val="20"/>
          <w:szCs w:val="20"/>
        </w:rPr>
        <w:t xml:space="preserve">10,890 columns is beyond what Excel will open (its limit is 16,384, but it will struggle long before that). Use R or pandas.</w:t>
      </w:r>
    </w:p>
    <w:p>
      <w:pPr>
        <w:pStyle w:val="ListParagraph"/>
        <w:numPr>
          <w:ilvl w:val="0"/>
          <w:numId w:val="3"/>
        </w:numPr>
        <w:spacing w:after="80"/>
      </w:pPr>
      <w:r>
        <w:rPr>
          <w:rFonts w:ascii="Arial" w:cs="Arial" w:eastAsia="Arial" w:hAnsi="Arial"/>
          <w:sz w:val="20"/>
          <w:szCs w:val="20"/>
        </w:rPr>
        <w:t xml:space="preserve">343 MB uncompressed, far smaller gzipped. fread() and read_csv() both handle the .gz directly.</w:t>
      </w:r>
    </w:p>
    <w:p>
      <w:pPr>
        <w:pStyle w:val="ListParagraph"/>
        <w:numPr>
          <w:ilvl w:val="0"/>
          <w:numId w:val="3"/>
        </w:numPr>
        <w:spacing w:after="80"/>
      </w:pPr>
      <w:r>
        <w:rPr>
          <w:rFonts w:ascii="Arial" w:cs="Arial" w:eastAsia="Arial" w:hAnsi="Arial"/>
          <w:sz w:val="20"/>
          <w:szCs w:val="20"/>
        </w:rPr>
        <w:t xml:space="preserve">Instance columns are sparse. Most babies have no third session on most days.</w:t>
      </w:r>
    </w:p>
    <w:p>
      <w:pPr>
        <w:pStyle w:val="ListParagraph"/>
        <w:numPr>
          <w:ilvl w:val="0"/>
          <w:numId w:val="3"/>
        </w:numPr>
        <w:spacing w:after="80"/>
      </w:pPr>
      <w:r>
        <w:rPr>
          <w:rFonts w:ascii="Arial" w:cs="Arial" w:eastAsia="Arial" w:hAnsi="Arial"/>
          <w:sz w:val="20"/>
          <w:szCs w:val="20"/>
        </w:rPr>
        <w:t xml:space="preserve">Read with RFC 4180 semantics. R’s read.csv and pandas.read_csv are correct by default. In PHP, pass an empty string as fgetcsv’s escape argument, or values containing a backslash come back corrupted.</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10. Questions to ask before analysing</w:t>
      </w:r>
    </w:p>
    <w:p>
      <w:pPr>
        <w:spacing w:after="120"/>
      </w:pPr>
      <w:r>
        <w:rPr>
          <w:rFonts w:ascii="Arial" w:cs="Arial" w:eastAsia="Arial" w:hAnsi="Arial"/>
          <w:sz w:val="20"/>
          <w:szCs w:val="20"/>
        </w:rPr>
        <w:t xml:space="preserve">Worth settling with the study team rather than assuming:</w:t>
      </w:r>
    </w:p>
    <w:p>
      <w:pPr>
        <w:pStyle w:val="ListParagraph"/>
        <w:numPr>
          <w:ilvl w:val="0"/>
          <w:numId w:val="3"/>
        </w:numPr>
        <w:spacing w:after="80"/>
      </w:pPr>
      <w:r>
        <w:rPr>
          <w:rFonts w:ascii="Arial" w:cs="Arial" w:eastAsia="Arial" w:hAnsi="Arial"/>
          <w:sz w:val="20"/>
          <w:szCs w:val="20"/>
        </w:rPr>
        <w:t xml:space="preserve">Length of stay varies. The adherence denominator of 86 assumes a full 29 days; confirm how to handle babies discharged earlier.</w:t>
      </w:r>
    </w:p>
    <w:p>
      <w:pPr>
        <w:pStyle w:val="ListParagraph"/>
        <w:numPr>
          <w:ilvl w:val="0"/>
          <w:numId w:val="3"/>
        </w:numPr>
        <w:spacing w:after="80"/>
      </w:pPr>
      <w:r>
        <w:rPr>
          <w:rFonts w:ascii="Arial" w:cs="Arial" w:eastAsia="Arial" w:hAnsi="Arial"/>
          <w:sz w:val="20"/>
          <w:szCs w:val="20"/>
        </w:rPr>
        <w:t xml:space="preserve">Blank versus NI versus N — confirm which combinations the protocol treats as non-administration.</w:t>
      </w:r>
    </w:p>
    <w:p>
      <w:pPr>
        <w:pStyle w:val="ListParagraph"/>
        <w:numPr>
          <w:ilvl w:val="0"/>
          <w:numId w:val="3"/>
        </w:numPr>
        <w:spacing w:after="80"/>
      </w:pPr>
      <w:r>
        <w:rPr>
          <w:rFonts w:ascii="Arial" w:cs="Arial" w:eastAsia="Arial" w:hAnsi="Arial"/>
          <w:sz w:val="20"/>
          <w:szCs w:val="20"/>
        </w:rPr>
        <w:t xml:space="preserve">Whether SEPSIS_IMPRESS_PROB and similar intermediate codes belong in any given denominator.</w:t>
      </w:r>
    </w:p>
    <w:p>
      <w:pPr>
        <w:pStyle w:val="ListParagraph"/>
        <w:numPr>
          <w:ilvl w:val="0"/>
          <w:numId w:val="3"/>
        </w:numPr>
        <w:spacing w:after="80"/>
      </w:pPr>
      <w:r>
        <w:rPr>
          <w:rFonts w:ascii="Arial" w:cs="Arial" w:eastAsia="Arial" w:hAnsi="Arial"/>
          <w:sz w:val="20"/>
          <w:szCs w:val="20"/>
        </w:rPr>
        <w:t xml:space="preserve">Whether two extracts taken on different dates may be pooled. On the PHP route the header is protocol-stable; on the R route it is not unless a template was used.</w:t>
      </w:r>
    </w:p>
    <w:p>
      <w:pPr>
        <w:pBdr>
          <w:bottom w:val="single" w:color="BFBFBF" w:sz="6"/>
        </w:pBdr>
        <w:spacing w:after="160"/>
      </w:pPr>
      <w:r>
        <w:rPr>
          <w:rFonts w:ascii="Arial" w:cs="Arial" w:eastAsia="Arial" w:hAnsi="Arial"/>
          <w:sz w:val="2"/>
          <w:szCs w:val="2"/>
        </w:rPr>
        <w:t xml:space="preserve"/>
      </w:r>
    </w:p>
    <w:p>
      <w:pPr>
        <w:pStyle w:val="Heading1"/>
        <w:spacing w:after="160" w:before="320"/>
      </w:pPr>
      <w:r>
        <w:rPr>
          <w:rFonts w:ascii="Arial" w:cs="Arial" w:eastAsia="Arial" w:hAnsi="Arial"/>
          <w:b/>
          <w:bCs/>
          <w:color w:val="1F4E79"/>
          <w:sz w:val="28"/>
          <w:szCs w:val="28"/>
        </w:rPr>
        <w:t xml:space="preserve">11.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685"/>
        <w:gridCol w:w="6552"/>
      </w:tblGrid>
      <w:tr>
        <w:trPr>
          <w:tblHeader/>
        </w:trPr>
        <w:tc>
          <w:tcPr>
            <w:tcW w:type="dxa" w:w="1123"/>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Version</w:t>
            </w:r>
          </w:p>
        </w:tc>
        <w:tc>
          <w:tcPr>
            <w:tcW w:type="dxa" w:w="1685"/>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Date</w:t>
            </w:r>
          </w:p>
        </w:tc>
        <w:tc>
          <w:tcPr>
            <w:tcW w:type="dxa" w:w="6552"/>
            <w:shd w:fill="1F4E79" w:val="clear"/>
            <w:tcMar>
              <w:top w:type="dxa" w:w="60"/>
              <w:left w:type="dxa" w:w="90"/>
              <w:bottom w:type="dxa" w:w="60"/>
              <w:right w:type="dxa" w:w="90"/>
            </w:tcMar>
          </w:tcPr>
          <w:p>
            <w:pPr>
              <w:jc w:val="left"/>
            </w:pPr>
            <w:r>
              <w:rPr>
                <w:rFonts w:ascii="Arial" w:cs="Arial" w:eastAsia="Arial" w:hAnsi="Arial"/>
                <w:b/>
                <w:bCs/>
                <w:color w:val="FFFFFF"/>
                <w:sz w:val="18"/>
                <w:szCs w:val="18"/>
              </w:rPr>
              <w:t xml:space="preserve">Change</w:t>
            </w:r>
          </w:p>
        </w:tc>
      </w:tr>
      <w:tr>
        <w:trPr>
          <w:tblHeader w:val="false"/>
        </w:trPr>
        <w:tc>
          <w:tcPr>
            <w:tcW w:type="dxa" w:w="1123"/>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v1</w:t>
            </w:r>
          </w:p>
        </w:tc>
        <w:tc>
          <w:tcPr>
            <w:tcW w:type="dxa" w:w="168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15 Sep 2026</w:t>
            </w:r>
          </w:p>
        </w:tc>
        <w:tc>
          <w:tcPr>
            <w:tcW w:type="dxa" w:w="655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Initial guide.</w:t>
            </w:r>
          </w:p>
        </w:tc>
      </w:tr>
      <w:tr>
        <w:trPr>
          <w:tblHeader w:val="false"/>
        </w:trPr>
        <w:tc>
          <w:tcPr>
            <w:tcW w:type="dxa" w:w="1123"/>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v2</w:t>
            </w:r>
          </w:p>
        </w:tc>
        <w:tc>
          <w:tcPr>
            <w:tcW w:type="dxa" w:w="1685"/>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15 Sep 2026</w:t>
            </w:r>
          </w:p>
        </w:tc>
        <w:tc>
          <w:tcPr>
            <w:tcW w:type="dxa" w:w="655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Added section 1.1 on export provenance and the column-set difference between routes. Corrected the claim that headers are always protocol-stable — that holds for the PHP route only. Updated record count and file sizes.</w:t>
            </w:r>
          </w:p>
        </w:tc>
      </w:tr>
      <w:tr>
        <w:trPr>
          <w:tblHeader w:val="false"/>
        </w:trPr>
        <w:tc>
          <w:tcPr>
            <w:tcW w:type="dxa" w:w="1123"/>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v3</w:t>
            </w:r>
          </w:p>
        </w:tc>
        <w:tc>
          <w:tcPr>
            <w:tcW w:type="dxa" w:w="1685"/>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15 Sep 2026</w:t>
            </w:r>
          </w:p>
        </w:tc>
        <w:tc>
          <w:tcPr>
            <w:tcW w:type="dxa" w:w="6552"/>
            <w:shd w:fill="F7F9FC" w:val="clear"/>
            <w:tcMar>
              <w:top w:type="dxa" w:w="60"/>
              <w:left w:type="dxa" w:w="90"/>
              <w:bottom w:type="dxa" w:w="60"/>
              <w:right w:type="dxa" w:w="90"/>
            </w:tcMar>
          </w:tcPr>
          <w:p>
            <w:pPr>
              <w:jc w:val="left"/>
            </w:pPr>
            <w:r>
              <w:rPr>
                <w:rFonts w:ascii="Arial" w:cs="Arial" w:eastAsia="Arial" w:hAnsi="Arial"/>
                <w:color w:val="000000"/>
                <w:sz w:val="18"/>
                <w:szCs w:val="18"/>
              </w:rPr>
              <w:t xml:space="preserve">Added the de-identification section — which 27 fields are removed and what that means for analysis.</w:t>
            </w:r>
          </w:p>
        </w:tc>
      </w:tr>
      <w:tr>
        <w:trPr>
          <w:tblHeader w:val="false"/>
        </w:trPr>
        <w:tc>
          <w:tcPr>
            <w:tcW w:type="dxa" w:w="1123"/>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v4</w:t>
            </w:r>
          </w:p>
        </w:tc>
        <w:tc>
          <w:tcPr>
            <w:tcW w:type="dxa" w:w="1685"/>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15 Sep 2026</w:t>
            </w:r>
          </w:p>
        </w:tc>
        <w:tc>
          <w:tcPr>
            <w:tcW w:type="dxa" w:w="6552"/>
            <w:shd w:fill="FFFFFF" w:val="clear"/>
            <w:tcMar>
              <w:top w:type="dxa" w:w="60"/>
              <w:left w:type="dxa" w:w="90"/>
              <w:bottom w:type="dxa" w:w="60"/>
              <w:right w:type="dxa" w:w="90"/>
            </w:tcMar>
          </w:tcPr>
          <w:p>
            <w:pPr>
              <w:jc w:val="left"/>
            </w:pPr>
            <w:r>
              <w:rPr>
                <w:rFonts w:ascii="Arial" w:cs="Arial" w:eastAsia="Arial" w:hAnsi="Arial"/>
                <w:color w:val="000000"/>
                <w:sz w:val="18"/>
                <w:szCs w:val="18"/>
              </w:rPr>
              <w:t xml:space="preserve">Added section 1, a primer for readers new to REDCap. Figures corrected to the delivered file (10,890 columns, 343 MB) rather than the theoretical blueprint. Production route and its effect on the column set stated plainly. Sections renumbered.</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Emollient Wide Dump — Analyst Guide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abstractNum w:abstractNumId="6" w15:restartNumberingAfterBreak="0">
    <w:multiLevelType w:val="hybridMultilevel"/>
    <w:lvl w:ilvl="0" w15:tentative="1">
      <w:start w:val="1"/>
      <w:numFmt w:val="decimal"/>
      <w:lvlText w:val="%1."/>
      <w:lvlJc w:val="left"/>
      <w:pPr>
        <w:ind w:left="360" w:hanging="220"/>
      </w:pPr>
    </w:lvl>
  </w:abstractNum>
  <w:abstractNum w:abstractNumId="7"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2026-09-15T14:34:39.136Z</dcterms:created>
  <dcterms:modified xsi:type="dcterms:W3CDTF">2026-09-15T14:34:39.146Z</dcterms:modified>
</cp:coreProperties>
</file>

<file path=docProps/custom.xml><?xml version="1.0" encoding="utf-8"?>
<Properties xmlns="http://schemas.openxmlformats.org/officeDocument/2006/custom-properties" xmlns:vt="http://schemas.openxmlformats.org/officeDocument/2006/docPropsVTypes"/>
</file>