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pPr>
      <w:r>
        <w:rPr>
          <w:rFonts w:ascii="Calibri" w:cs="Calibri" w:eastAsia="Calibri" w:hAnsi="Calibri"/>
          <w:b/>
          <w:bCs/>
          <w:color w:val="1F3864"/>
          <w:sz w:val="56"/>
          <w:szCs w:val="56"/>
        </w:rPr>
        <w:t xml:space="preserve">Monthly Site Summary</w:t>
      </w:r>
    </w:p>
    <w:p>
      <w:pPr>
        <w:spacing w:after="400"/>
      </w:pPr>
      <w:r>
        <w:rPr>
          <w:rFonts w:ascii="Calibri" w:cs="Calibri" w:eastAsia="Calibri" w:hAnsi="Calibri"/>
          <w:color w:val="595959"/>
          <w:sz w:val="28"/>
          <w:szCs w:val="28"/>
        </w:rPr>
        <w:t xml:space="preserve">Enrollment, LAMA, DOPR and SAE by site and month</w:t>
      </w:r>
    </w:p>
    <w:p>
      <w:pPr>
        <w:spacing w:after="120" w:before="0"/>
      </w:pPr>
      <w:r>
        <w:rPr>
          <w:rFonts w:ascii="Calibri" w:cs="Calibri" w:eastAsia="Calibri" w:hAnsi="Calibri"/>
          <w:sz w:val="22"/>
          <w:szCs w:val="22"/>
        </w:rPr>
        <w:t xml:space="preserve">CEL Reporting Platform — Emollient project</w:t>
      </w:r>
    </w:p>
    <w:p>
      <w:pPr>
        <w:spacing w:after="120" w:before="0"/>
      </w:pPr>
      <w:r>
        <w:rPr>
          <w:rFonts w:ascii="Calibri" w:cs="Calibri" w:eastAsia="Calibri" w:hAnsi="Calibri"/>
          <w:color w:val="595959"/>
          <w:sz w:val="22"/>
          <w:szCs w:val="22"/>
        </w:rPr>
        <w:t xml:space="preserve">Report documentation, version 1 • October 2026</w:t>
      </w:r>
    </w:p>
    <w:p>
      <w:pPr>
        <w:spacing w:after="120" w:before="0"/>
      </w:pPr>
      <w:r>
        <w:rPr>
          <w:rFonts w:ascii="Calibri" w:cs="Calibri" w:eastAsia="Calibri" w:hAnsi="Calibri"/>
          <w:color w:val="595959"/>
          <w:sz w:val="22"/>
          <w:szCs w:val="22"/>
        </w:rPr>
        <w:t xml:space="preserve">Built for the Technical Steering Committee</w:t>
      </w:r>
    </w:p>
    <w:p>
      <w:r>
        <w:br w:type="page"/>
      </w:r>
    </w:p>
    <w:p>
      <w:pPr>
        <w:pStyle w:val="Heading1"/>
        <w:spacing w:after="140" w:before="320"/>
      </w:pPr>
      <w:r>
        <w:t xml:space="preserve">1. What this report is</w:t>
      </w:r>
    </w:p>
    <w:p>
      <w:pPr>
        <w:spacing w:after="120" w:before="0"/>
      </w:pPr>
      <w:r>
        <w:rPr>
          <w:rFonts w:ascii="Calibri" w:cs="Calibri" w:eastAsia="Calibri" w:hAnsi="Calibri"/>
          <w:sz w:val="21"/>
          <w:szCs w:val="21"/>
        </w:rPr>
        <w:t xml:space="preserve">The Monthly Site Summary answers four questions for the Technical Steering Committee, broken down by site and by month: how many babies were enrolled, how many left against medical advice (LAMA), how many were discharged on the family’s request (DOPR), and how many serious adverse events were recorded.</w:t>
      </w:r>
    </w:p>
    <w:p>
      <w:pPr>
        <w:spacing w:after="120" w:before="0"/>
      </w:pPr>
      <w:r>
        <w:rPr>
          <w:rFonts w:ascii="Calibri" w:cs="Calibri" w:eastAsia="Calibri" w:hAnsi="Calibri"/>
          <w:sz w:val="21"/>
          <w:szCs w:val="21"/>
        </w:rPr>
        <w:t xml:space="preserve">It lives in the reporting platform rather than in a spreadsheet because TSC meets repeatedly and the numbers move between sittings as outcomes arrive. A workbook built once is a photograph; this is the camera. When someone asks in the meeting why a figure differs from last quarter’s slide, the answer is “here is the report, run it again, here is the as-of date”.</w:t>
      </w:r>
    </w:p>
    <w:p>
      <w:pPr>
        <w:spacing w:after="120" w:before="0"/>
      </w:pPr>
      <w:r>
        <w:rPr>
          <w:rFonts w:ascii="Calibri" w:cs="Calibri" w:eastAsia="Calibri" w:hAnsi="Calibri"/>
          <w:sz w:val="21"/>
          <w:szCs w:val="21"/>
        </w:rPr>
        <w:t xml:space="preserve">TSC does not have access to the platform. The report is built to be lifted into a deck: charts are 16:9 with per-chart PNG download at slide resolution, and the tables export to Excel and CSV.</w:t>
      </w:r>
    </w:p>
    <w:p>
      <w:pPr>
        <w:pStyle w:val="Heading2"/>
        <w:spacing w:after="110" w:before="240"/>
      </w:pPr>
      <w:r>
        <w:t xml:space="preserve">Where to find it</w:t>
      </w:r>
    </w:p>
    <w:p>
      <w:pPr>
        <w:shd w:fill="F2F2F2" w:val="clear"/>
        <w:spacing w:after="80"/>
      </w:pPr>
      <w:r>
        <w:rPr>
          <w:rFonts w:ascii="Consolas" w:cs="Consolas" w:eastAsia="Consolas" w:hAnsi="Consolas"/>
          <w:sz w:val="18"/>
          <w:szCs w:val="18"/>
        </w:rPr>
        <w:t xml:space="preserve">reporting.cel-one.org  →  Clinical Reports  →  Monthly Site Summary</w:t>
      </w:r>
    </w:p>
    <w:p>
      <w:pPr>
        <w:shd w:fill="F2F2F2" w:val="clear"/>
        <w:spacing w:after="80"/>
      </w:pPr>
      <w:r>
        <w:rPr>
          <w:rFonts w:ascii="Consolas" w:cs="Consolas" w:eastAsia="Consolas" w:hAnsi="Consolas"/>
          <w:sz w:val="18"/>
          <w:szCs w:val="18"/>
        </w:rPr>
        <w:t xml:space="preserve">?project=Emollient&amp;report=MonthlySiteSummary&amp;format=html</w:t>
      </w:r>
    </w:p>
    <w:p>
      <w:pPr>
        <w:shd w:fill="F2F2F2" w:val="clear"/>
        <w:spacing w:after="80"/>
      </w:pPr>
      <w:r>
        <w:rPr>
          <w:rFonts w:ascii="Consolas" w:cs="Consolas" w:eastAsia="Consolas" w:hAnsi="Consolas"/>
          <w:sz w:val="18"/>
          <w:szCs w:val="18"/>
        </w:rPr>
        <w:t xml:space="preserve">...&amp;sites=JSS,SNMC&amp;date_from=2026-04-01&amp;date_to=2026-09-30</w:t>
      </w:r>
    </w:p>
    <w:p>
      <w:pPr>
        <w:pStyle w:val="Heading1"/>
        <w:spacing w:after="140" w:before="320"/>
      </w:pPr>
      <w:r>
        <w:t xml:space="preserve">2. What each figure counts</w:t>
      </w:r>
    </w:p>
    <w:p>
      <w:pPr>
        <w:spacing w:after="120" w:before="0"/>
      </w:pPr>
      <w:r>
        <w:rPr>
          <w:rFonts w:ascii="Calibri" w:cs="Calibri" w:eastAsia="Calibri" w:hAnsi="Calibri"/>
          <w:sz w:val="21"/>
          <w:szCs w:val="21"/>
        </w:rPr>
        <w:t xml:space="preserve">These definitions are the report. Everything else is presentation.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98"/>
        <w:gridCol w:w="2808"/>
        <w:gridCol w:w="5054"/>
      </w:tblGrid>
      <w:tr>
        <w:trPr>
          <w:tblHeader/>
        </w:trPr>
        <w:tc>
          <w:tcPr>
            <w:tcW w:type="dxa" w:w="1498"/>
            <w:shd w:fill="1F3864" w:val="clear"/>
            <w:tcMar>
              <w:top w:type="dxa" w:w="70"/>
              <w:left w:type="dxa" w:w="110"/>
              <w:bottom w:type="dxa" w:w="70"/>
              <w:right w:type="dxa" w:w="110"/>
            </w:tcMar>
          </w:tcPr>
          <w:p>
            <w:r>
              <w:rPr>
                <w:rFonts w:ascii="Calibri" w:cs="Calibri" w:eastAsia="Calibri" w:hAnsi="Calibri"/>
                <w:b/>
                <w:bCs/>
                <w:color w:val="FFFFFF"/>
                <w:sz w:val="19"/>
                <w:szCs w:val="19"/>
              </w:rPr>
              <w:t xml:space="preserve">Figure</w:t>
            </w:r>
          </w:p>
        </w:tc>
        <w:tc>
          <w:tcPr>
            <w:tcW w:type="dxa" w:w="2808"/>
            <w:shd w:fill="1F3864" w:val="clear"/>
            <w:tcMar>
              <w:top w:type="dxa" w:w="70"/>
              <w:left w:type="dxa" w:w="110"/>
              <w:bottom w:type="dxa" w:w="70"/>
              <w:right w:type="dxa" w:w="110"/>
            </w:tcMar>
          </w:tcPr>
          <w:p>
            <w:r>
              <w:rPr>
                <w:rFonts w:ascii="Calibri" w:cs="Calibri" w:eastAsia="Calibri" w:hAnsi="Calibri"/>
                <w:b/>
                <w:bCs/>
                <w:color w:val="FFFFFF"/>
                <w:sz w:val="19"/>
                <w:szCs w:val="19"/>
              </w:rPr>
              <w:t xml:space="preserve">Source field</w:t>
            </w:r>
          </w:p>
        </w:tc>
        <w:tc>
          <w:tcPr>
            <w:tcW w:type="dxa" w:w="5054"/>
            <w:shd w:fill="1F3864" w:val="clear"/>
            <w:tcMar>
              <w:top w:type="dxa" w:w="70"/>
              <w:left w:type="dxa" w:w="110"/>
              <w:bottom w:type="dxa" w:w="70"/>
              <w:right w:type="dxa" w:w="110"/>
            </w:tcMar>
          </w:tcPr>
          <w:p>
            <w:r>
              <w:rPr>
                <w:rFonts w:ascii="Calibri" w:cs="Calibri" w:eastAsia="Calibri" w:hAnsi="Calibri"/>
                <w:b/>
                <w:bCs/>
                <w:color w:val="FFFFFF"/>
                <w:sz w:val="19"/>
                <w:szCs w:val="19"/>
              </w:rPr>
              <w:t xml:space="preserve">Counted when</w:t>
            </w:r>
          </w:p>
        </w:tc>
      </w:tr>
      <w:tr>
        <w:tc>
          <w:tcPr>
            <w:tcW w:type="dxa" w:w="1498"/>
            <w:tcMar>
              <w:top w:type="dxa" w:w="70"/>
              <w:left w:type="dxa" w:w="110"/>
              <w:bottom w:type="dxa" w:w="70"/>
              <w:right w:type="dxa" w:w="110"/>
            </w:tcMar>
          </w:tcPr>
          <w:p>
            <w:r>
              <w:rPr>
                <w:rFonts w:ascii="Calibri" w:cs="Calibri" w:eastAsia="Calibri" w:hAnsi="Calibri"/>
                <w:sz w:val="19"/>
                <w:szCs w:val="19"/>
              </w:rPr>
              <w:t xml:space="preserve">Enrolled</w:t>
            </w:r>
          </w:p>
        </w:tc>
        <w:tc>
          <w:tcPr>
            <w:tcW w:type="dxa" w:w="2808"/>
            <w:tcMar>
              <w:top w:type="dxa" w:w="70"/>
              <w:left w:type="dxa" w:w="110"/>
              <w:bottom w:type="dxa" w:w="70"/>
              <w:right w:type="dxa" w:w="110"/>
            </w:tcMar>
          </w:tcPr>
          <w:p>
            <w:r>
              <w:rPr>
                <w:rFonts w:ascii="Calibri" w:cs="Calibri" w:eastAsia="Calibri" w:hAnsi="Calibri"/>
                <w:sz w:val="19"/>
                <w:szCs w:val="19"/>
              </w:rPr>
              <w:t xml:space="preserve">enr_consent_granted, enr_datetime</w:t>
            </w:r>
          </w:p>
        </w:tc>
        <w:tc>
          <w:tcPr>
            <w:tcW w:type="dxa" w:w="5054"/>
            <w:tcMar>
              <w:top w:type="dxa" w:w="70"/>
              <w:left w:type="dxa" w:w="110"/>
              <w:bottom w:type="dxa" w:w="70"/>
              <w:right w:type="dxa" w:w="110"/>
            </w:tcMar>
          </w:tcPr>
          <w:p>
            <w:r>
              <w:rPr>
                <w:rFonts w:ascii="Calibri" w:cs="Calibri" w:eastAsia="Calibri" w:hAnsi="Calibri"/>
                <w:sz w:val="19"/>
                <w:szCs w:val="19"/>
              </w:rPr>
              <w:t xml:space="preserve">Consent granted (1 or Y) and enr_datetime present</w:t>
            </w:r>
          </w:p>
        </w:tc>
      </w:tr>
      <w:tr>
        <w:tc>
          <w:tcPr>
            <w:tcW w:type="dxa" w:w="1498"/>
            <w:shd w:fill="F7F7F7" w:val="clear"/>
            <w:tcMar>
              <w:top w:type="dxa" w:w="70"/>
              <w:left w:type="dxa" w:w="110"/>
              <w:bottom w:type="dxa" w:w="70"/>
              <w:right w:type="dxa" w:w="110"/>
            </w:tcMar>
          </w:tcPr>
          <w:p>
            <w:r>
              <w:rPr>
                <w:rFonts w:ascii="Calibri" w:cs="Calibri" w:eastAsia="Calibri" w:hAnsi="Calibri"/>
                <w:sz w:val="19"/>
                <w:szCs w:val="19"/>
              </w:rPr>
              <w:t xml:space="preserve">LAMA</w:t>
            </w:r>
          </w:p>
        </w:tc>
        <w:tc>
          <w:tcPr>
            <w:tcW w:type="dxa" w:w="2808"/>
            <w:shd w:fill="F7F7F7" w:val="clear"/>
            <w:tcMar>
              <w:top w:type="dxa" w:w="70"/>
              <w:left w:type="dxa" w:w="110"/>
              <w:bottom w:type="dxa" w:w="70"/>
              <w:right w:type="dxa" w:w="110"/>
            </w:tcMar>
          </w:tcPr>
          <w:p>
            <w:r>
              <w:rPr>
                <w:rFonts w:ascii="Calibri" w:cs="Calibri" w:eastAsia="Calibri" w:hAnsi="Calibri"/>
                <w:sz w:val="19"/>
                <w:szCs w:val="19"/>
              </w:rPr>
              <w:t xml:space="preserve">dis_discharge_type</w:t>
            </w:r>
          </w:p>
        </w:tc>
        <w:tc>
          <w:tcPr>
            <w:tcW w:type="dxa" w:w="5054"/>
            <w:shd w:fill="F7F7F7" w:val="clear"/>
            <w:tcMar>
              <w:top w:type="dxa" w:w="70"/>
              <w:left w:type="dxa" w:w="110"/>
              <w:bottom w:type="dxa" w:w="70"/>
              <w:right w:type="dxa" w:w="110"/>
            </w:tcMar>
          </w:tcPr>
          <w:p>
            <w:r>
              <w:rPr>
                <w:rFonts w:ascii="Calibri" w:cs="Calibri" w:eastAsia="Calibri" w:hAnsi="Calibri"/>
                <w:sz w:val="19"/>
                <w:szCs w:val="19"/>
              </w:rPr>
              <w:t xml:space="preserve">Equals TYP_LAMA</w:t>
            </w:r>
          </w:p>
        </w:tc>
      </w:tr>
      <w:tr>
        <w:tc>
          <w:tcPr>
            <w:tcW w:type="dxa" w:w="1498"/>
            <w:tcMar>
              <w:top w:type="dxa" w:w="70"/>
              <w:left w:type="dxa" w:w="110"/>
              <w:bottom w:type="dxa" w:w="70"/>
              <w:right w:type="dxa" w:w="110"/>
            </w:tcMar>
          </w:tcPr>
          <w:p>
            <w:r>
              <w:rPr>
                <w:rFonts w:ascii="Calibri" w:cs="Calibri" w:eastAsia="Calibri" w:hAnsi="Calibri"/>
                <w:sz w:val="19"/>
                <w:szCs w:val="19"/>
              </w:rPr>
              <w:t xml:space="preserve">DOPR</w:t>
            </w:r>
          </w:p>
        </w:tc>
        <w:tc>
          <w:tcPr>
            <w:tcW w:type="dxa" w:w="2808"/>
            <w:tcMar>
              <w:top w:type="dxa" w:w="70"/>
              <w:left w:type="dxa" w:w="110"/>
              <w:bottom w:type="dxa" w:w="70"/>
              <w:right w:type="dxa" w:w="110"/>
            </w:tcMar>
          </w:tcPr>
          <w:p>
            <w:r>
              <w:rPr>
                <w:rFonts w:ascii="Calibri" w:cs="Calibri" w:eastAsia="Calibri" w:hAnsi="Calibri"/>
                <w:sz w:val="19"/>
                <w:szCs w:val="19"/>
              </w:rPr>
              <w:t xml:space="preserve">dis_discharge_type</w:t>
            </w:r>
          </w:p>
        </w:tc>
        <w:tc>
          <w:tcPr>
            <w:tcW w:type="dxa" w:w="5054"/>
            <w:tcMar>
              <w:top w:type="dxa" w:w="70"/>
              <w:left w:type="dxa" w:w="110"/>
              <w:bottom w:type="dxa" w:w="70"/>
              <w:right w:type="dxa" w:w="110"/>
            </w:tcMar>
          </w:tcPr>
          <w:p>
            <w:r>
              <w:rPr>
                <w:rFonts w:ascii="Calibri" w:cs="Calibri" w:eastAsia="Calibri" w:hAnsi="Calibri"/>
                <w:sz w:val="19"/>
                <w:szCs w:val="19"/>
              </w:rPr>
              <w:t xml:space="preserve">Equals TYP_DOPR</w:t>
            </w:r>
          </w:p>
        </w:tc>
      </w:tr>
      <w:tr>
        <w:tc>
          <w:tcPr>
            <w:tcW w:type="dxa" w:w="1498"/>
            <w:shd w:fill="F7F7F7" w:val="clear"/>
            <w:tcMar>
              <w:top w:type="dxa" w:w="70"/>
              <w:left w:type="dxa" w:w="110"/>
              <w:bottom w:type="dxa" w:w="70"/>
              <w:right w:type="dxa" w:w="110"/>
            </w:tcMar>
          </w:tcPr>
          <w:p>
            <w:r>
              <w:rPr>
                <w:rFonts w:ascii="Calibri" w:cs="Calibri" w:eastAsia="Calibri" w:hAnsi="Calibri"/>
                <w:sz w:val="19"/>
                <w:szCs w:val="19"/>
              </w:rPr>
              <w:t xml:space="preserve">LAMA + DOPR</w:t>
            </w:r>
          </w:p>
        </w:tc>
        <w:tc>
          <w:tcPr>
            <w:tcW w:type="dxa" w:w="2808"/>
            <w:shd w:fill="F7F7F7" w:val="clear"/>
            <w:tcMar>
              <w:top w:type="dxa" w:w="70"/>
              <w:left w:type="dxa" w:w="110"/>
              <w:bottom w:type="dxa" w:w="70"/>
              <w:right w:type="dxa" w:w="110"/>
            </w:tcMar>
          </w:tcPr>
          <w:p>
            <w:r>
              <w:rPr>
                <w:rFonts w:ascii="Calibri" w:cs="Calibri" w:eastAsia="Calibri" w:hAnsi="Calibri"/>
                <w:sz w:val="19"/>
                <w:szCs w:val="19"/>
              </w:rPr>
              <w:t xml:space="preserve">—</w:t>
            </w:r>
          </w:p>
        </w:tc>
        <w:tc>
          <w:tcPr>
            <w:tcW w:type="dxa" w:w="5054"/>
            <w:shd w:fill="F7F7F7" w:val="clear"/>
            <w:tcMar>
              <w:top w:type="dxa" w:w="70"/>
              <w:left w:type="dxa" w:w="110"/>
              <w:bottom w:type="dxa" w:w="70"/>
              <w:right w:type="dxa" w:w="110"/>
            </w:tcMar>
          </w:tcPr>
          <w:p>
            <w:r>
              <w:rPr>
                <w:rFonts w:ascii="Calibri" w:cs="Calibri" w:eastAsia="Calibri" w:hAnsi="Calibri"/>
                <w:sz w:val="19"/>
                <w:szCs w:val="19"/>
              </w:rPr>
              <w:t xml:space="preserve">The sum of the two above</w:t>
            </w:r>
          </w:p>
        </w:tc>
      </w:tr>
      <w:tr>
        <w:tc>
          <w:tcPr>
            <w:tcW w:type="dxa" w:w="1498"/>
            <w:tcMar>
              <w:top w:type="dxa" w:w="70"/>
              <w:left w:type="dxa" w:w="110"/>
              <w:bottom w:type="dxa" w:w="70"/>
              <w:right w:type="dxa" w:w="110"/>
            </w:tcMar>
          </w:tcPr>
          <w:p>
            <w:r>
              <w:rPr>
                <w:rFonts w:ascii="Calibri" w:cs="Calibri" w:eastAsia="Calibri" w:hAnsi="Calibri"/>
                <w:sz w:val="19"/>
                <w:szCs w:val="19"/>
              </w:rPr>
              <w:t xml:space="preserve">SAE</w:t>
            </w:r>
          </w:p>
        </w:tc>
        <w:tc>
          <w:tcPr>
            <w:tcW w:type="dxa" w:w="2808"/>
            <w:tcMar>
              <w:top w:type="dxa" w:w="70"/>
              <w:left w:type="dxa" w:w="110"/>
              <w:bottom w:type="dxa" w:w="70"/>
              <w:right w:type="dxa" w:w="110"/>
            </w:tcMar>
          </w:tcPr>
          <w:p>
            <w:r>
              <w:rPr>
                <w:rFonts w:ascii="Calibri" w:cs="Calibri" w:eastAsia="Calibri" w:hAnsi="Calibri"/>
                <w:sz w:val="19"/>
                <w:szCs w:val="19"/>
              </w:rPr>
              <w:t xml:space="preserve">sae_start_date</w:t>
            </w:r>
          </w:p>
        </w:tc>
        <w:tc>
          <w:tcPr>
            <w:tcW w:type="dxa" w:w="5054"/>
            <w:tcMar>
              <w:top w:type="dxa" w:w="70"/>
              <w:left w:type="dxa" w:w="110"/>
              <w:bottom w:type="dxa" w:w="70"/>
              <w:right w:type="dxa" w:w="110"/>
            </w:tcMar>
          </w:tcPr>
          <w:p>
            <w:r>
              <w:rPr>
                <w:rFonts w:ascii="Calibri" w:cs="Calibri" w:eastAsia="Calibri" w:hAnsi="Calibri"/>
                <w:sz w:val="19"/>
                <w:szCs w:val="19"/>
              </w:rPr>
              <w:t xml:space="preserve">Present on the serious_adverse_event form</w:t>
            </w:r>
          </w:p>
        </w:tc>
      </w:tr>
    </w:tbl>
    <w:p>
      <w:pPr>
        <w:spacing w:after="120" w:before="0"/>
      </w:pPr>
      <w:r>
        <w:rPr>
          <w:rFonts w:ascii="Calibri" w:cs="Calibri" w:eastAsia="Calibri" w:hAnsi="Calibri"/>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FF2CC" w:val="clear"/>
            <w:tcMar>
              <w:top w:type="dxa" w:w="110"/>
              <w:left w:type="dxa" w:w="160"/>
              <w:bottom w:type="dxa" w:w="110"/>
              <w:right w:type="dxa" w:w="160"/>
            </w:tcMar>
          </w:tcPr>
          <w:p>
            <w:pPr>
              <w:spacing w:after="60"/>
            </w:pPr>
            <w:r>
              <w:rPr>
                <w:rFonts w:ascii="Calibri" w:cs="Calibri" w:eastAsia="Calibri" w:hAnsi="Calibri"/>
                <w:b/>
                <w:bCs/>
                <w:sz w:val="21"/>
                <w:szCs w:val="21"/>
              </w:rPr>
              <w:t xml:space="preserve">The counting rule, stated once</w:t>
            </w:r>
          </w:p>
          <w:p>
            <w:r>
              <w:rPr>
                <w:rFonts w:ascii="Calibri" w:cs="Calibri" w:eastAsia="Calibri" w:hAnsi="Calibri"/>
                <w:sz w:val="20"/>
                <w:szCs w:val="20"/>
              </w:rPr>
              <w:t xml:space="preserve">An event counts in the month of its OWN date, and only when that date is recorded. Enrollment is dated by enr_datetime, LAMA and DOPR by dis_datetime, SAE by sae_start_date. Anything recorded without its date is not counted at all — it is reported under Data notes instead, so the gap is visible rather than silent.</w:t>
            </w:r>
          </w:p>
        </w:tc>
      </w:tr>
    </w:tbl>
    <w:p>
      <w:pPr>
        <w:spacing w:after="120" w:before="0"/>
      </w:pPr>
      <w:r>
        <w:rPr>
          <w:rFonts w:ascii="Calibri" w:cs="Calibri" w:eastAsia="Calibri" w:hAnsi="Calibri"/>
          <w:sz w:val="21"/>
          <w:szCs w:val="21"/>
        </w:rPr>
        <w:t xml:space="preserve"/>
      </w:r>
    </w:p>
    <w:p>
      <w:pPr>
        <w:pStyle w:val="Heading2"/>
        <w:spacing w:after="110" w:before="240"/>
      </w:pPr>
      <w:r>
        <w:t xml:space="preserve">2.1 Why SAE uses Q8 and not Q5</w:t>
      </w:r>
    </w:p>
    <w:p>
      <w:pPr>
        <w:spacing w:after="120" w:before="0"/>
      </w:pPr>
      <w:r>
        <w:rPr>
          <w:rFonts w:ascii="Calibri" w:cs="Calibri" w:eastAsia="Calibri" w:hAnsi="Calibri"/>
          <w:sz w:val="21"/>
          <w:szCs w:val="21"/>
        </w:rPr>
        <w:t xml:space="preserve">The SAE form carries two onset dates: sae_datetime (Q5, “Date of onset of SAE”) and sae_start_date (Q8, “the date when the adverse event started”). Q8 was chosen. Q5 is still fetched, but only so the report can tell you how the two compare — it never dates an SAE.</w:t>
      </w:r>
    </w:p>
    <w:p>
      <w:pPr>
        <w:spacing w:after="120" w:before="0"/>
      </w:pPr>
      <w:r>
        <w:rPr>
          <w:rFonts w:ascii="Calibri" w:cs="Calibri" w:eastAsia="Calibri" w:hAnsi="Calibri"/>
          <w:sz w:val="21"/>
          <w:szCs w:val="21"/>
        </w:rPr>
        <w:t xml:space="preserve">On the data as at 4 October 2026 this is settled: of 149 SAE forms, all 149 had both fields filled, none had Q5 alone. Nothing is being dropped. The Data notes section re-checks this on every run, because the day that changes is the day the SAE count silently falls.</w:t>
      </w:r>
    </w:p>
    <w:p>
      <w:pPr>
        <w:pStyle w:val="Heading2"/>
        <w:spacing w:after="110" w:before="240"/>
      </w:pPr>
      <w:r>
        <w:t xml:space="preserve">2.2 Why LAMA and DOPR are separate</w:t>
      </w:r>
    </w:p>
    <w:p>
      <w:pPr>
        <w:spacing w:after="120" w:before="0"/>
      </w:pPr>
      <w:r>
        <w:rPr>
          <w:rFonts w:ascii="Calibri" w:cs="Calibri" w:eastAsia="Calibri" w:hAnsi="Calibri"/>
          <w:sz w:val="21"/>
          <w:szCs w:val="21"/>
        </w:rPr>
        <w:t xml:space="preserve">Four incompatible definitions of “LAMA” exist across the CEL codebase: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44"/>
        <w:gridCol w:w="5616"/>
      </w:tblGrid>
      <w:tr>
        <w:trPr>
          <w:tblHeader/>
        </w:trPr>
        <w:tc>
          <w:tcPr>
            <w:tcW w:type="dxa" w:w="3744"/>
            <w:shd w:fill="1F3864" w:val="clear"/>
            <w:tcMar>
              <w:top w:type="dxa" w:w="70"/>
              <w:left w:type="dxa" w:w="110"/>
              <w:bottom w:type="dxa" w:w="70"/>
              <w:right w:type="dxa" w:w="110"/>
            </w:tcMar>
          </w:tcPr>
          <w:p>
            <w:r>
              <w:rPr>
                <w:rFonts w:ascii="Calibri" w:cs="Calibri" w:eastAsia="Calibri" w:hAnsi="Calibri"/>
                <w:b/>
                <w:bCs/>
                <w:color w:val="FFFFFF"/>
                <w:sz w:val="19"/>
                <w:szCs w:val="19"/>
              </w:rPr>
              <w:t xml:space="preserve">Where</w:t>
            </w:r>
          </w:p>
        </w:tc>
        <w:tc>
          <w:tcPr>
            <w:tcW w:type="dxa" w:w="5616"/>
            <w:shd w:fill="1F3864" w:val="clear"/>
            <w:tcMar>
              <w:top w:type="dxa" w:w="70"/>
              <w:left w:type="dxa" w:w="110"/>
              <w:bottom w:type="dxa" w:w="70"/>
              <w:right w:type="dxa" w:w="110"/>
            </w:tcMar>
          </w:tcPr>
          <w:p>
            <w:r>
              <w:rPr>
                <w:rFonts w:ascii="Calibri" w:cs="Calibri" w:eastAsia="Calibri" w:hAnsi="Calibri"/>
                <w:b/>
                <w:bCs/>
                <w:color w:val="FFFFFF"/>
                <w:sz w:val="19"/>
                <w:szCs w:val="19"/>
              </w:rPr>
              <w:t xml:space="preserve">LAMA means</w:t>
            </w:r>
          </w:p>
        </w:tc>
      </w:tr>
      <w:tr>
        <w:tc>
          <w:tcPr>
            <w:tcW w:type="dxa" w:w="3744"/>
            <w:tcMar>
              <w:top w:type="dxa" w:w="70"/>
              <w:left w:type="dxa" w:w="110"/>
              <w:bottom w:type="dxa" w:w="70"/>
              <w:right w:type="dxa" w:w="110"/>
            </w:tcMar>
          </w:tcPr>
          <w:p>
            <w:r>
              <w:rPr>
                <w:rFonts w:ascii="Calibri" w:cs="Calibri" w:eastAsia="Calibri" w:hAnsi="Calibri"/>
                <w:sz w:val="19"/>
                <w:szCs w:val="19"/>
              </w:rPr>
              <w:t xml:space="preserve">MonthlyDashboardAggregator line 170</w:t>
            </w:r>
          </w:p>
        </w:tc>
        <w:tc>
          <w:tcPr>
            <w:tcW w:type="dxa" w:w="5616"/>
            <w:tcMar>
              <w:top w:type="dxa" w:w="70"/>
              <w:left w:type="dxa" w:w="110"/>
              <w:bottom w:type="dxa" w:w="70"/>
              <w:right w:type="dxa" w:w="110"/>
            </w:tcMar>
          </w:tcPr>
          <w:p>
            <w:r>
              <w:rPr>
                <w:rFonts w:ascii="Calibri" w:cs="Calibri" w:eastAsia="Calibri" w:hAnsi="Calibri"/>
                <w:sz w:val="19"/>
                <w:szCs w:val="19"/>
              </w:rPr>
              <w:t xml:space="preserve">TYP_LAMA, TYP_REF, TYP_ABS — excludes DOPR</w:t>
            </w:r>
          </w:p>
        </w:tc>
      </w:tr>
      <w:tr>
        <w:tc>
          <w:tcPr>
            <w:tcW w:type="dxa" w:w="3744"/>
            <w:shd w:fill="F7F7F7" w:val="clear"/>
            <w:tcMar>
              <w:top w:type="dxa" w:w="70"/>
              <w:left w:type="dxa" w:w="110"/>
              <w:bottom w:type="dxa" w:w="70"/>
              <w:right w:type="dxa" w:w="110"/>
            </w:tcMar>
          </w:tcPr>
          <w:p>
            <w:r>
              <w:rPr>
                <w:rFonts w:ascii="Calibri" w:cs="Calibri" w:eastAsia="Calibri" w:hAnsi="Calibri"/>
                <w:sz w:val="19"/>
                <w:szCs w:val="19"/>
              </w:rPr>
              <w:t xml:space="preserve">Clinical_Outcomes N2 denominator</w:t>
            </w:r>
          </w:p>
        </w:tc>
        <w:tc>
          <w:tcPr>
            <w:tcW w:type="dxa" w:w="5616"/>
            <w:shd w:fill="F7F7F7" w:val="clear"/>
            <w:tcMar>
              <w:top w:type="dxa" w:w="70"/>
              <w:left w:type="dxa" w:w="110"/>
              <w:bottom w:type="dxa" w:w="70"/>
              <w:right w:type="dxa" w:w="110"/>
            </w:tcMar>
          </w:tcPr>
          <w:p>
            <w:r>
              <w:rPr>
                <w:rFonts w:ascii="Calibri" w:cs="Calibri" w:eastAsia="Calibri" w:hAnsi="Calibri"/>
                <w:sz w:val="19"/>
                <w:szCs w:val="19"/>
              </w:rPr>
              <w:t xml:space="preserve">LAMA, Referral, Abscond and DOPR</w:t>
            </w:r>
          </w:p>
        </w:tc>
      </w:tr>
      <w:tr>
        <w:tc>
          <w:tcPr>
            <w:tcW w:type="dxa" w:w="3744"/>
            <w:tcMar>
              <w:top w:type="dxa" w:w="70"/>
              <w:left w:type="dxa" w:w="110"/>
              <w:bottom w:type="dxa" w:w="70"/>
              <w:right w:type="dxa" w:w="110"/>
            </w:tcMar>
          </w:tcPr>
          <w:p>
            <w:r>
              <w:rPr>
                <w:rFonts w:ascii="Calibri" w:cs="Calibri" w:eastAsia="Calibri" w:hAnsi="Calibri"/>
                <w:sz w:val="19"/>
                <w:szCs w:val="19"/>
              </w:rPr>
              <w:t xml:space="preserve">This report</w:t>
            </w:r>
          </w:p>
        </w:tc>
        <w:tc>
          <w:tcPr>
            <w:tcW w:type="dxa" w:w="5616"/>
            <w:tcMar>
              <w:top w:type="dxa" w:w="70"/>
              <w:left w:type="dxa" w:w="110"/>
              <w:bottom w:type="dxa" w:w="70"/>
              <w:right w:type="dxa" w:w="110"/>
            </w:tcMar>
          </w:tcPr>
          <w:p>
            <w:r>
              <w:rPr>
                <w:rFonts w:ascii="Calibri" w:cs="Calibri" w:eastAsia="Calibri" w:hAnsi="Calibri"/>
                <w:sz w:val="19"/>
                <w:szCs w:val="19"/>
              </w:rPr>
              <w:t xml:space="preserve">TYP_LAMA and TYP_DOPR only, reported separately</w:t>
            </w:r>
          </w:p>
        </w:tc>
      </w:tr>
      <w:tr>
        <w:tc>
          <w:tcPr>
            <w:tcW w:type="dxa" w:w="3744"/>
            <w:shd w:fill="F7F7F7" w:val="clear"/>
            <w:tcMar>
              <w:top w:type="dxa" w:w="70"/>
              <w:left w:type="dxa" w:w="110"/>
              <w:bottom w:type="dxa" w:w="70"/>
              <w:right w:type="dxa" w:w="110"/>
            </w:tcMar>
          </w:tcPr>
          <w:p>
            <w:r>
              <w:rPr>
                <w:rFonts w:ascii="Calibri" w:cs="Calibri" w:eastAsia="Calibri" w:hAnsi="Calibri"/>
                <w:sz w:val="19"/>
                <w:szCs w:val="19"/>
              </w:rPr>
              <w:t xml:space="preserve">This report’s CSV and Excel</w:t>
            </w:r>
          </w:p>
        </w:tc>
        <w:tc>
          <w:tcPr>
            <w:tcW w:type="dxa" w:w="5616"/>
            <w:shd w:fill="F7F7F7" w:val="clear"/>
            <w:tcMar>
              <w:top w:type="dxa" w:w="70"/>
              <w:left w:type="dxa" w:w="110"/>
              <w:bottom w:type="dxa" w:w="70"/>
              <w:right w:type="dxa" w:w="110"/>
            </w:tcMar>
          </w:tcPr>
          <w:p>
            <w:r>
              <w:rPr>
                <w:rFonts w:ascii="Calibri" w:cs="Calibri" w:eastAsia="Calibri" w:hAnsi="Calibri"/>
                <w:sz w:val="19"/>
                <w:szCs w:val="19"/>
              </w:rPr>
              <w:t xml:space="preserve">All seven discharge types, counted individually</w:t>
            </w:r>
          </w:p>
        </w:tc>
      </w:tr>
    </w:tbl>
    <w:p>
      <w:pPr>
        <w:spacing w:after="120" w:before="0"/>
      </w:pPr>
      <w:r>
        <w:rPr>
          <w:rFonts w:ascii="Calibri" w:cs="Calibri" w:eastAsia="Calibri" w:hAnsi="Calibri"/>
          <w:sz w:val="21"/>
          <w:szCs w:val="21"/>
        </w:rPr>
        <w:t xml:space="preserve"/>
      </w:r>
    </w:p>
    <w:p>
      <w:pPr>
        <w:spacing w:after="120" w:before="0"/>
      </w:pPr>
      <w:r>
        <w:rPr>
          <w:rFonts w:ascii="Calibri" w:cs="Calibri" w:eastAsia="Calibri" w:hAnsi="Calibri"/>
          <w:sz w:val="21"/>
          <w:szCs w:val="21"/>
        </w:rPr>
        <w:t xml:space="preserve">This report commits to none of them. The aggregator counts every discharge type separately; the page displays LAMA and DOPR because that is what was asked for, and the other five ride along in the CSV and Excel exports. A question about referrals or deaths is answered by opening the file, not by changing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FF2CC" w:val="clear"/>
            <w:tcMar>
              <w:top w:type="dxa" w:w="110"/>
              <w:left w:type="dxa" w:w="160"/>
              <w:bottom w:type="dxa" w:w="110"/>
              <w:right w:type="dxa" w:w="160"/>
            </w:tcMar>
          </w:tcPr>
          <w:p>
            <w:pPr>
              <w:spacing w:after="60"/>
            </w:pPr>
            <w:r>
              <w:rPr>
                <w:rFonts w:ascii="Calibri" w:cs="Calibri" w:eastAsia="Calibri" w:hAnsi="Calibri"/>
                <w:b/>
                <w:bCs/>
                <w:sz w:val="21"/>
                <w:szCs w:val="21"/>
              </w:rPr>
              <w:t xml:space="preserve">For the study team</w:t>
            </w:r>
          </w:p>
          <w:p>
            <w:r>
              <w:rPr>
                <w:rFonts w:ascii="Calibri" w:cs="Calibri" w:eastAsia="Calibri" w:hAnsi="Calibri"/>
                <w:sz w:val="20"/>
                <w:szCs w:val="20"/>
              </w:rPr>
              <w:t xml:space="preserve">This disagreement is not resolved, it is only contained. Two CEL reports will give different counts for the word “LAMA”. Emollient_Measure_Definitions.xlsx sets the four definitions side by side with a column for TSC to rule on.</w:t>
            </w:r>
          </w:p>
        </w:tc>
      </w:tr>
    </w:tbl>
    <w:p>
      <w:pPr>
        <w:pStyle w:val="Heading1"/>
        <w:spacing w:after="140" w:before="320"/>
      </w:pPr>
      <w:r>
        <w:t xml:space="preserve">3. The two bases</w:t>
      </w:r>
    </w:p>
    <w:p>
      <w:pPr>
        <w:spacing w:after="120" w:before="0"/>
      </w:pPr>
      <w:r>
        <w:rPr>
          <w:rFonts w:ascii="Calibri" w:cs="Calibri" w:eastAsia="Calibri" w:hAnsi="Calibri"/>
          <w:sz w:val="21"/>
          <w:szCs w:val="21"/>
        </w:rPr>
        <w:t xml:space="preserve">Every figure can be read two ways, chosen with the radio buttons at the top of the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10"/>
        <w:gridCol w:w="2808"/>
        <w:gridCol w:w="5242"/>
      </w:tblGrid>
      <w:tr>
        <w:trPr>
          <w:tblHeader/>
        </w:trPr>
        <w:tc>
          <w:tcPr>
            <w:tcW w:type="dxa" w:w="1310"/>
            <w:shd w:fill="1F3864" w:val="clear"/>
            <w:tcMar>
              <w:top w:type="dxa" w:w="70"/>
              <w:left w:type="dxa" w:w="110"/>
              <w:bottom w:type="dxa" w:w="70"/>
              <w:right w:type="dxa" w:w="110"/>
            </w:tcMar>
          </w:tcPr>
          <w:p>
            <w:r>
              <w:rPr>
                <w:rFonts w:ascii="Calibri" w:cs="Calibri" w:eastAsia="Calibri" w:hAnsi="Calibri"/>
                <w:b/>
                <w:bCs/>
                <w:color w:val="FFFFFF"/>
                <w:sz w:val="19"/>
                <w:szCs w:val="19"/>
              </w:rPr>
              <w:t xml:space="preserve">Basis</w:t>
            </w:r>
          </w:p>
        </w:tc>
        <w:tc>
          <w:tcPr>
            <w:tcW w:type="dxa" w:w="2808"/>
            <w:shd w:fill="1F3864" w:val="clear"/>
            <w:tcMar>
              <w:top w:type="dxa" w:w="70"/>
              <w:left w:type="dxa" w:w="110"/>
              <w:bottom w:type="dxa" w:w="70"/>
              <w:right w:type="dxa" w:w="110"/>
            </w:tcMar>
          </w:tcPr>
          <w:p>
            <w:r>
              <w:rPr>
                <w:rFonts w:ascii="Calibri" w:cs="Calibri" w:eastAsia="Calibri" w:hAnsi="Calibri"/>
                <w:b/>
                <w:bCs/>
                <w:color w:val="FFFFFF"/>
                <w:sz w:val="19"/>
                <w:szCs w:val="19"/>
              </w:rPr>
              <w:t xml:space="preserve">An event lands in</w:t>
            </w:r>
          </w:p>
        </w:tc>
        <w:tc>
          <w:tcPr>
            <w:tcW w:type="dxa" w:w="5242"/>
            <w:shd w:fill="1F3864" w:val="clear"/>
            <w:tcMar>
              <w:top w:type="dxa" w:w="70"/>
              <w:left w:type="dxa" w:w="110"/>
              <w:bottom w:type="dxa" w:w="70"/>
              <w:right w:type="dxa" w:w="110"/>
            </w:tcMar>
          </w:tcPr>
          <w:p>
            <w:r>
              <w:rPr>
                <w:rFonts w:ascii="Calibri" w:cs="Calibri" w:eastAsia="Calibri" w:hAnsi="Calibri"/>
                <w:b/>
                <w:bCs/>
                <w:color w:val="FFFFFF"/>
                <w:sz w:val="19"/>
                <w:szCs w:val="19"/>
              </w:rPr>
              <w:t xml:space="preserve">Answers</w:t>
            </w:r>
          </w:p>
        </w:tc>
      </w:tr>
      <w:tr>
        <w:tc>
          <w:tcPr>
            <w:tcW w:type="dxa" w:w="1310"/>
            <w:tcMar>
              <w:top w:type="dxa" w:w="70"/>
              <w:left w:type="dxa" w:w="110"/>
              <w:bottom w:type="dxa" w:w="70"/>
              <w:right w:type="dxa" w:w="110"/>
            </w:tcMar>
          </w:tcPr>
          <w:p>
            <w:r>
              <w:rPr>
                <w:rFonts w:ascii="Calibri" w:cs="Calibri" w:eastAsia="Calibri" w:hAnsi="Calibri"/>
                <w:sz w:val="19"/>
                <w:szCs w:val="19"/>
              </w:rPr>
              <w:t xml:space="preserve">Event</w:t>
            </w:r>
          </w:p>
        </w:tc>
        <w:tc>
          <w:tcPr>
            <w:tcW w:type="dxa" w:w="2808"/>
            <w:tcMar>
              <w:top w:type="dxa" w:w="70"/>
              <w:left w:type="dxa" w:w="110"/>
              <w:bottom w:type="dxa" w:w="70"/>
              <w:right w:type="dxa" w:w="110"/>
            </w:tcMar>
          </w:tcPr>
          <w:p>
            <w:r>
              <w:rPr>
                <w:rFonts w:ascii="Calibri" w:cs="Calibri" w:eastAsia="Calibri" w:hAnsi="Calibri"/>
                <w:sz w:val="19"/>
                <w:szCs w:val="19"/>
              </w:rPr>
              <w:t xml:space="preserve">the month it happened</w:t>
            </w:r>
          </w:p>
        </w:tc>
        <w:tc>
          <w:tcPr>
            <w:tcW w:type="dxa" w:w="5242"/>
            <w:tcMar>
              <w:top w:type="dxa" w:w="70"/>
              <w:left w:type="dxa" w:w="110"/>
              <w:bottom w:type="dxa" w:w="70"/>
              <w:right w:type="dxa" w:w="110"/>
            </w:tcMar>
          </w:tcPr>
          <w:p>
            <w:r>
              <w:rPr>
                <w:rFonts w:ascii="Calibri" w:cs="Calibri" w:eastAsia="Calibri" w:hAnsi="Calibri"/>
                <w:sz w:val="19"/>
                <w:szCs w:val="19"/>
              </w:rPr>
              <w:t xml:space="preserve">“What happened last quarter?” The usual monitoring view.</w:t>
            </w:r>
          </w:p>
        </w:tc>
      </w:tr>
      <w:tr>
        <w:tc>
          <w:tcPr>
            <w:tcW w:type="dxa" w:w="1310"/>
            <w:shd w:fill="F7F7F7" w:val="clear"/>
            <w:tcMar>
              <w:top w:type="dxa" w:w="70"/>
              <w:left w:type="dxa" w:w="110"/>
              <w:bottom w:type="dxa" w:w="70"/>
              <w:right w:type="dxa" w:w="110"/>
            </w:tcMar>
          </w:tcPr>
          <w:p>
            <w:r>
              <w:rPr>
                <w:rFonts w:ascii="Calibri" w:cs="Calibri" w:eastAsia="Calibri" w:hAnsi="Calibri"/>
                <w:sz w:val="19"/>
                <w:szCs w:val="19"/>
              </w:rPr>
              <w:t xml:space="preserve">Cohort</w:t>
            </w:r>
          </w:p>
        </w:tc>
        <w:tc>
          <w:tcPr>
            <w:tcW w:type="dxa" w:w="2808"/>
            <w:shd w:fill="F7F7F7" w:val="clear"/>
            <w:tcMar>
              <w:top w:type="dxa" w:w="70"/>
              <w:left w:type="dxa" w:w="110"/>
              <w:bottom w:type="dxa" w:w="70"/>
              <w:right w:type="dxa" w:w="110"/>
            </w:tcMar>
          </w:tcPr>
          <w:p>
            <w:r>
              <w:rPr>
                <w:rFonts w:ascii="Calibri" w:cs="Calibri" w:eastAsia="Calibri" w:hAnsi="Calibri"/>
                <w:sz w:val="19"/>
                <w:szCs w:val="19"/>
              </w:rPr>
              <w:t xml:space="preserve">the month the baby was enrolled</w:t>
            </w:r>
          </w:p>
        </w:tc>
        <w:tc>
          <w:tcPr>
            <w:tcW w:type="dxa" w:w="5242"/>
            <w:shd w:fill="F7F7F7" w:val="clear"/>
            <w:tcMar>
              <w:top w:type="dxa" w:w="70"/>
              <w:left w:type="dxa" w:w="110"/>
              <w:bottom w:type="dxa" w:w="70"/>
              <w:right w:type="dxa" w:w="110"/>
            </w:tcMar>
          </w:tcPr>
          <w:p>
            <w:r>
              <w:rPr>
                <w:rFonts w:ascii="Calibri" w:cs="Calibri" w:eastAsia="Calibri" w:hAnsi="Calibri"/>
                <w:sz w:val="19"/>
                <w:szCs w:val="19"/>
              </w:rPr>
              <w:t xml:space="preserve">“Is the rate rising?” Gives each month a denominator, but recent months keep moving as outcomes arrive.</w:t>
            </w:r>
          </w:p>
        </w:tc>
      </w:tr>
    </w:tbl>
    <w:p>
      <w:pPr>
        <w:spacing w:after="120" w:before="0"/>
      </w:pPr>
      <w:r>
        <w:rPr>
          <w:rFonts w:ascii="Calibri" w:cs="Calibri" w:eastAsia="Calibri" w:hAnsi="Calibri"/>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FF2CC" w:val="clear"/>
            <w:tcMar>
              <w:top w:type="dxa" w:w="110"/>
              <w:left w:type="dxa" w:w="160"/>
              <w:bottom w:type="dxa" w:w="110"/>
              <w:right w:type="dxa" w:w="160"/>
            </w:tcMar>
          </w:tcPr>
          <w:p>
            <w:pPr>
              <w:spacing w:after="60"/>
            </w:pPr>
            <w:r>
              <w:rPr>
                <w:rFonts w:ascii="Calibri" w:cs="Calibri" w:eastAsia="Calibri" w:hAnsi="Calibri"/>
                <w:b/>
                <w:bCs/>
                <w:sz w:val="21"/>
                <w:szCs w:val="21"/>
              </w:rPr>
              <w:t xml:space="preserve">The two bases do not always agree, and that is not a rounding artefact</w:t>
            </w:r>
          </w:p>
          <w:p>
            <w:r>
              <w:rPr>
                <w:rFonts w:ascii="Calibri" w:cs="Calibri" w:eastAsia="Calibri" w:hAnsi="Calibri"/>
                <w:sz w:val="20"/>
                <w:szCs w:val="20"/>
              </w:rPr>
              <w:t xml:space="preserve">The cohort basis can only place an event if the baby has a usable enrollment month. A baby whose consent was refused, or whose enrollment date is missing or falls outside the window, can still have a dated discharge or SAE — countable on the event basis, unplaceable on the cohort basis. Every such event is counted in the Data notes, so the gap between the two totals is always exactly accounted for. Never present the two bases as alternative renderings of one number.</w:t>
            </w:r>
          </w:p>
        </w:tc>
      </w:tr>
    </w:tbl>
    <w:p>
      <w:pPr>
        <w:pStyle w:val="Heading1"/>
        <w:spacing w:after="140" w:before="320"/>
      </w:pPr>
      <w:r>
        <w:t xml:space="preserve">4. What is deliberately excluded</w:t>
      </w:r>
    </w:p>
    <w:p>
      <w:pPr>
        <w:spacing w:after="120" w:before="0"/>
      </w:pPr>
      <w:r>
        <w:rPr>
          <w:rFonts w:ascii="Calibri" w:cs="Calibri" w:eastAsia="Calibri" w:hAnsi="Calibri"/>
          <w:sz w:val="21"/>
          <w:szCs w:val="21"/>
        </w:rPr>
        <w:t xml:space="preserve">Stated on the report itself, so a reader never has to ask what the denominator is.</w:t>
      </w:r>
    </w:p>
    <w:p>
      <w:pPr>
        <w:pStyle w:val="ListParagraph"/>
        <w:numPr>
          <w:ilvl w:val="0"/>
          <w:numId w:val="2"/>
        </w:numPr>
        <w:spacing w:after="70"/>
      </w:pPr>
      <w:r>
        <w:rPr>
          <w:rFonts w:ascii="Calibri" w:cs="Calibri" w:eastAsia="Calibri" w:hAnsi="Calibri"/>
          <w:sz w:val="21"/>
          <w:szCs w:val="21"/>
        </w:rPr>
        <w:t xml:space="preserve">Discharges recorded on the “discharge after 28 days of stay” form (dis_post_28_discharge_type) are NOT counted. Babies still in hospital at day 28 are discharged through that form, so their LAMA and DOPR do not appear here. Excluded on instruction of 4 October 2026; set include_post_28 to true in the report definition to include them.</w:t>
      </w:r>
    </w:p>
    <w:p>
      <w:pPr>
        <w:pStyle w:val="ListParagraph"/>
        <w:numPr>
          <w:ilvl w:val="0"/>
          <w:numId w:val="2"/>
        </w:numPr>
        <w:spacing w:after="70"/>
      </w:pPr>
      <w:r>
        <w:rPr>
          <w:rFonts w:ascii="Calibri" w:cs="Calibri" w:eastAsia="Calibri" w:hAnsi="Calibri"/>
          <w:sz w:val="21"/>
          <w:szCs w:val="21"/>
        </w:rPr>
        <w:t xml:space="preserve">The “discharge of babies denied by physician” form is not read.</w:t>
      </w:r>
    </w:p>
    <w:p>
      <w:pPr>
        <w:pStyle w:val="ListParagraph"/>
        <w:numPr>
          <w:ilvl w:val="0"/>
          <w:numId w:val="2"/>
        </w:numPr>
        <w:spacing w:after="70"/>
      </w:pPr>
      <w:r>
        <w:rPr>
          <w:rFonts w:ascii="Calibri" w:cs="Calibri" w:eastAsia="Calibri" w:hAnsi="Calibri"/>
          <w:sz w:val="21"/>
          <w:szCs w:val="21"/>
        </w:rPr>
        <w:t xml:space="preserve">Babies with no enr_hosp_code cannot be placed at a site and are not counted. The number is given under Data notes, split into those who were never enrolled (expected — the bulk of any REDCap export is prescreening instances) and those who were enrolled but carry no site, which is a real gap.</w:t>
      </w:r>
    </w:p>
    <w:p>
      <w:pPr>
        <w:spacing w:after="120" w:before="0"/>
      </w:pPr>
      <w:r>
        <w:rPr>
          <w:rFonts w:ascii="Calibri" w:cs="Calibri" w:eastAsia="Calibri" w:hAnsi="Calibri"/>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FF2CC" w:val="clear"/>
            <w:tcMar>
              <w:top w:type="dxa" w:w="110"/>
              <w:left w:type="dxa" w:w="160"/>
              <w:bottom w:type="dxa" w:w="110"/>
              <w:right w:type="dxa" w:w="160"/>
            </w:tcMar>
          </w:tcPr>
          <w:p>
            <w:pPr>
              <w:spacing w:after="60"/>
            </w:pPr>
            <w:r>
              <w:rPr>
                <w:rFonts w:ascii="Calibri" w:cs="Calibri" w:eastAsia="Calibri" w:hAnsi="Calibri"/>
                <w:b/>
                <w:bCs/>
                <w:sz w:val="21"/>
                <w:szCs w:val="21"/>
              </w:rPr>
              <w:t xml:space="preserve">Why site comes from enr_hosp_code</w:t>
            </w:r>
          </w:p>
          <w:p>
            <w:r>
              <w:rPr>
                <w:rFonts w:ascii="Calibri" w:cs="Calibri" w:eastAsia="Calibri" w:hAnsi="Calibri"/>
                <w:sz w:val="20"/>
                <w:szCs w:val="20"/>
              </w:rPr>
              <w:t xml:space="preserve">Four hospital-code fields exist in this project — reg_hosp_id, fmly_hosp_code, baby_hosp_code and enr_hosp_code — plus dis_hosp_code and sae_hosp_code on the later forms. This report uses enr_hosp_code throughout, because that is the field every other Emollient report uses. Choosing differently would produce site totals that quietly disagree with the rest of the platform. Where the discharge or SAE form carries a different code, the mismatch is counted in Data notes rather than silently preferred.</w:t>
            </w:r>
          </w:p>
        </w:tc>
      </w:tr>
    </w:tbl>
    <w:p>
      <w:r>
        <w:br w:type="page"/>
      </w:r>
    </w:p>
    <w:p>
      <w:pPr>
        <w:pStyle w:val="Heading1"/>
        <w:spacing w:after="140" w:before="320"/>
      </w:pPr>
      <w:r>
        <w:t xml:space="preserve">5. Using the report</w:t>
      </w:r>
    </w:p>
    <w:p>
      <w:pPr>
        <w:pStyle w:val="Heading2"/>
        <w:spacing w:after="110" w:before="240"/>
      </w:pPr>
      <w:r>
        <w:t xml:space="preserve">5.1 Choosing sites</w:t>
      </w:r>
    </w:p>
    <w:p>
      <w:pPr>
        <w:spacing w:after="120" w:before="0"/>
      </w:pPr>
      <w:r>
        <w:rPr>
          <w:rFonts w:ascii="Calibri" w:cs="Calibri" w:eastAsia="Calibri" w:hAnsi="Calibri"/>
          <w:sz w:val="21"/>
          <w:szCs w:val="21"/>
        </w:rPr>
        <w:t xml:space="preserve">The tick boxes filter the table and all three charts together. Untick everything except the sites you need and the page recomputes, including the totals row and the percentages.</w:t>
      </w:r>
    </w:p>
    <w:p>
      <w:pPr>
        <w:pStyle w:val="Heading2"/>
        <w:spacing w:after="110" w:before="240"/>
      </w:pPr>
      <w:r>
        <w:t xml:space="preserve">5.2 Downloading for selected sites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FF2CC" w:val="clear"/>
            <w:tcMar>
              <w:top w:type="dxa" w:w="110"/>
              <w:left w:type="dxa" w:w="160"/>
              <w:bottom w:type="dxa" w:w="110"/>
              <w:right w:type="dxa" w:w="160"/>
            </w:tcMar>
          </w:tcPr>
          <w:p>
            <w:pPr>
              <w:spacing w:after="60"/>
            </w:pPr>
            <w:r>
              <w:rPr>
                <w:rFonts w:ascii="Calibri" w:cs="Calibri" w:eastAsia="Calibri" w:hAnsi="Calibri"/>
                <w:b/>
                <w:bCs/>
                <w:sz w:val="21"/>
                <w:szCs w:val="21"/>
              </w:rPr>
              <w:t xml:space="preserve">Use the buttons in the Download row, not the toolbar</w:t>
            </w:r>
          </w:p>
          <w:p>
            <w:r>
              <w:rPr>
                <w:rFonts w:ascii="Calibri" w:cs="Calibri" w:eastAsia="Calibri" w:hAnsi="Calibri"/>
                <w:sz w:val="20"/>
                <w:szCs w:val="20"/>
              </w:rPr>
              <w:t xml:space="preserve">The tick boxes filter the page inside your browser. A CSV or Excel download is a fresh request to the server, which only knows what is in the URL — so the selection has to travel there. The two buttons in the Download row put it there. The buttons in the engine’s toolbar at the top of the page know nothing about the tick boxes and always export every site. One of them is labelled “Excel (Missing)”; that wording is borrowed from the form-completion reports, where the Excel export is the list of missing forms, and it means nothing on this report.</w:t>
            </w:r>
          </w:p>
        </w:tc>
      </w:tr>
    </w:tbl>
    <w:p>
      <w:pPr>
        <w:spacing w:after="120" w:before="0"/>
      </w:pPr>
      <w:r>
        <w:rPr>
          <w:rFonts w:ascii="Calibri" w:cs="Calibri" w:eastAsia="Calibri" w:hAnsi="Calibri"/>
          <w:sz w:val="21"/>
          <w:szCs w:val="21"/>
        </w:rPr>
        <w:t xml:space="preserve"/>
      </w:r>
    </w:p>
    <w:p>
      <w:pPr>
        <w:pStyle w:val="Heading2"/>
        <w:spacing w:after="110" w:before="240"/>
      </w:pPr>
      <w:r>
        <w:t xml:space="preserve">5.3 Charts into slides</w:t>
      </w:r>
    </w:p>
    <w:p>
      <w:pPr>
        <w:pStyle w:val="ListParagraph"/>
        <w:numPr>
          <w:ilvl w:val="0"/>
          <w:numId w:val="2"/>
        </w:numPr>
        <w:spacing w:after="70"/>
      </w:pPr>
      <w:r>
        <w:rPr>
          <w:rFonts w:ascii="Calibri" w:cs="Calibri" w:eastAsia="Calibri" w:hAnsi="Calibri"/>
          <w:sz w:val="21"/>
          <w:szCs w:val="21"/>
        </w:rPr>
        <w:t xml:space="preserve">Every chart has a PNG button. It downloads at 960×540 at twice the scale, so it drops onto a 16:9 slide at native size without resizing.</w:t>
      </w:r>
    </w:p>
    <w:p>
      <w:pPr>
        <w:pStyle w:val="ListParagraph"/>
        <w:numPr>
          <w:ilvl w:val="0"/>
          <w:numId w:val="2"/>
        </w:numPr>
        <w:spacing w:after="70"/>
      </w:pPr>
      <w:r>
        <w:rPr>
          <w:rFonts w:ascii="Calibri" w:cs="Calibri" w:eastAsia="Calibri" w:hAnsi="Calibri"/>
          <w:sz w:val="21"/>
          <w:szCs w:val="21"/>
        </w:rPr>
        <w:t xml:space="preserve">Each stacked segment carries its own number, not just the month total. A downloaded image has no hover, so without that a shared chart cannot be read back to individual sites.</w:t>
      </w:r>
    </w:p>
    <w:p>
      <w:pPr>
        <w:pStyle w:val="ListParagraph"/>
        <w:numPr>
          <w:ilvl w:val="0"/>
          <w:numId w:val="2"/>
        </w:numPr>
        <w:spacing w:after="70"/>
      </w:pPr>
      <w:r>
        <w:rPr>
          <w:rFonts w:ascii="Calibri" w:cs="Calibri" w:eastAsia="Calibri" w:hAnsi="Calibri"/>
          <w:sz w:val="21"/>
          <w:szCs w:val="21"/>
        </w:rPr>
        <w:t xml:space="preserve">Colours are fixed per site and validated for colour-vision deficiency in both light and dark mode. Past eight sites the ninth folds into a grey “Other” band rather than reusing a colour, so no two sites ever share one.</w:t>
      </w:r>
    </w:p>
    <w:p>
      <w:pPr>
        <w:pStyle w:val="Heading2"/>
        <w:spacing w:after="110" w:before="240"/>
      </w:pPr>
      <w:r>
        <w:t xml:space="preserve">5.4 The Excel workbook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rPr>
          <w:tblHeader/>
        </w:trPr>
        <w:tc>
          <w:tcPr>
            <w:tcW w:type="dxa" w:w="2059"/>
            <w:shd w:fill="1F3864" w:val="clear"/>
            <w:tcMar>
              <w:top w:type="dxa" w:w="70"/>
              <w:left w:type="dxa" w:w="110"/>
              <w:bottom w:type="dxa" w:w="70"/>
              <w:right w:type="dxa" w:w="110"/>
            </w:tcMar>
          </w:tcPr>
          <w:p>
            <w:r>
              <w:rPr>
                <w:rFonts w:ascii="Calibri" w:cs="Calibri" w:eastAsia="Calibri" w:hAnsi="Calibri"/>
                <w:b/>
                <w:bCs/>
                <w:color w:val="FFFFFF"/>
                <w:sz w:val="19"/>
                <w:szCs w:val="19"/>
              </w:rPr>
              <w:t xml:space="preserve">Sheet</w:t>
            </w:r>
          </w:p>
        </w:tc>
        <w:tc>
          <w:tcPr>
            <w:tcW w:type="dxa" w:w="7301"/>
            <w:shd w:fill="1F3864" w:val="clear"/>
            <w:tcMar>
              <w:top w:type="dxa" w:w="70"/>
              <w:left w:type="dxa" w:w="110"/>
              <w:bottom w:type="dxa" w:w="70"/>
              <w:right w:type="dxa" w:w="110"/>
            </w:tcMar>
          </w:tcPr>
          <w:p>
            <w:r>
              <w:rPr>
                <w:rFonts w:ascii="Calibri" w:cs="Calibri" w:eastAsia="Calibri" w:hAnsi="Calibri"/>
                <w:b/>
                <w:bCs/>
                <w:color w:val="FFFFFF"/>
                <w:sz w:val="19"/>
                <w:szCs w:val="19"/>
              </w:rPr>
              <w:t xml:space="preserve">Holds</w:t>
            </w:r>
          </w:p>
        </w:tc>
      </w:tr>
      <w:tr>
        <w:tc>
          <w:tcPr>
            <w:tcW w:type="dxa" w:w="2059"/>
            <w:tcMar>
              <w:top w:type="dxa" w:w="70"/>
              <w:left w:type="dxa" w:w="110"/>
              <w:bottom w:type="dxa" w:w="70"/>
              <w:right w:type="dxa" w:w="110"/>
            </w:tcMar>
          </w:tcPr>
          <w:p>
            <w:r>
              <w:rPr>
                <w:rFonts w:ascii="Calibri" w:cs="Calibri" w:eastAsia="Calibri" w:hAnsi="Calibri"/>
                <w:sz w:val="19"/>
                <w:szCs w:val="19"/>
              </w:rPr>
              <w:t xml:space="preserve">Summary</w:t>
            </w:r>
          </w:p>
        </w:tc>
        <w:tc>
          <w:tcPr>
            <w:tcW w:type="dxa" w:w="7301"/>
            <w:tcMar>
              <w:top w:type="dxa" w:w="70"/>
              <w:left w:type="dxa" w:w="110"/>
              <w:bottom w:type="dxa" w:w="70"/>
              <w:right w:type="dxa" w:w="110"/>
            </w:tcMar>
          </w:tcPr>
          <w:p>
            <w:r>
              <w:rPr>
                <w:rFonts w:ascii="Calibri" w:cs="Calibri" w:eastAsia="Calibri" w:hAnsi="Calibri"/>
                <w:sz w:val="19"/>
                <w:szCs w:val="19"/>
              </w:rPr>
              <w:t xml:space="preserve">Site × measure for the whole period, with unplanned-discharge share</w:t>
            </w:r>
          </w:p>
        </w:tc>
      </w:tr>
      <w:tr>
        <w:tc>
          <w:tcPr>
            <w:tcW w:type="dxa" w:w="2059"/>
            <w:shd w:fill="F7F7F7" w:val="clear"/>
            <w:tcMar>
              <w:top w:type="dxa" w:w="70"/>
              <w:left w:type="dxa" w:w="110"/>
              <w:bottom w:type="dxa" w:w="70"/>
              <w:right w:type="dxa" w:w="110"/>
            </w:tcMar>
          </w:tcPr>
          <w:p>
            <w:r>
              <w:rPr>
                <w:rFonts w:ascii="Calibri" w:cs="Calibri" w:eastAsia="Calibri" w:hAnsi="Calibri"/>
                <w:sz w:val="19"/>
                <w:szCs w:val="19"/>
              </w:rPr>
              <w:t xml:space="preserve">Event basis</w:t>
            </w:r>
          </w:p>
        </w:tc>
        <w:tc>
          <w:tcPr>
            <w:tcW w:type="dxa" w:w="7301"/>
            <w:shd w:fill="F7F7F7" w:val="clear"/>
            <w:tcMar>
              <w:top w:type="dxa" w:w="70"/>
              <w:left w:type="dxa" w:w="110"/>
              <w:bottom w:type="dxa" w:w="70"/>
              <w:right w:type="dxa" w:w="110"/>
            </w:tcMar>
          </w:tcPr>
          <w:p>
            <w:r>
              <w:rPr>
                <w:rFonts w:ascii="Calibri" w:cs="Calibri" w:eastAsia="Calibri" w:hAnsi="Calibri"/>
                <w:sz w:val="19"/>
                <w:szCs w:val="19"/>
              </w:rPr>
              <w:t xml:space="preserve">Site × month, one block per measure</w:t>
            </w:r>
          </w:p>
        </w:tc>
      </w:tr>
      <w:tr>
        <w:tc>
          <w:tcPr>
            <w:tcW w:type="dxa" w:w="2059"/>
            <w:tcMar>
              <w:top w:type="dxa" w:w="70"/>
              <w:left w:type="dxa" w:w="110"/>
              <w:bottom w:type="dxa" w:w="70"/>
              <w:right w:type="dxa" w:w="110"/>
            </w:tcMar>
          </w:tcPr>
          <w:p>
            <w:r>
              <w:rPr>
                <w:rFonts w:ascii="Calibri" w:cs="Calibri" w:eastAsia="Calibri" w:hAnsi="Calibri"/>
                <w:sz w:val="19"/>
                <w:szCs w:val="19"/>
              </w:rPr>
              <w:t xml:space="preserve">Cohort basis</w:t>
            </w:r>
          </w:p>
        </w:tc>
        <w:tc>
          <w:tcPr>
            <w:tcW w:type="dxa" w:w="7301"/>
            <w:tcMar>
              <w:top w:type="dxa" w:w="70"/>
              <w:left w:type="dxa" w:w="110"/>
              <w:bottom w:type="dxa" w:w="70"/>
              <w:right w:type="dxa" w:w="110"/>
            </w:tcMar>
          </w:tcPr>
          <w:p>
            <w:r>
              <w:rPr>
                <w:rFonts w:ascii="Calibri" w:cs="Calibri" w:eastAsia="Calibri" w:hAnsi="Calibri"/>
                <w:sz w:val="19"/>
                <w:szCs w:val="19"/>
              </w:rPr>
              <w:t xml:space="preserve">The same, by the baby’s enrollment month</w:t>
            </w:r>
          </w:p>
        </w:tc>
      </w:tr>
      <w:tr>
        <w:tc>
          <w:tcPr>
            <w:tcW w:type="dxa" w:w="2059"/>
            <w:shd w:fill="F7F7F7" w:val="clear"/>
            <w:tcMar>
              <w:top w:type="dxa" w:w="70"/>
              <w:left w:type="dxa" w:w="110"/>
              <w:bottom w:type="dxa" w:w="70"/>
              <w:right w:type="dxa" w:w="110"/>
            </w:tcMar>
          </w:tcPr>
          <w:p>
            <w:r>
              <w:rPr>
                <w:rFonts w:ascii="Calibri" w:cs="Calibri" w:eastAsia="Calibri" w:hAnsi="Calibri"/>
                <w:sz w:val="19"/>
                <w:szCs w:val="19"/>
              </w:rPr>
              <w:t xml:space="preserve">Discharge types</w:t>
            </w:r>
          </w:p>
        </w:tc>
        <w:tc>
          <w:tcPr>
            <w:tcW w:type="dxa" w:w="7301"/>
            <w:shd w:fill="F7F7F7" w:val="clear"/>
            <w:tcMar>
              <w:top w:type="dxa" w:w="70"/>
              <w:left w:type="dxa" w:w="110"/>
              <w:bottom w:type="dxa" w:w="70"/>
              <w:right w:type="dxa" w:w="110"/>
            </w:tcMar>
          </w:tcPr>
          <w:p>
            <w:r>
              <w:rPr>
                <w:rFonts w:ascii="Calibri" w:cs="Calibri" w:eastAsia="Calibri" w:hAnsi="Calibri"/>
                <w:sz w:val="19"/>
                <w:szCs w:val="19"/>
              </w:rPr>
              <w:t xml:space="preserve">All seven coded values, not only LAMA and DOPR</w:t>
            </w:r>
          </w:p>
        </w:tc>
      </w:tr>
      <w:tr>
        <w:tc>
          <w:tcPr>
            <w:tcW w:type="dxa" w:w="2059"/>
            <w:tcMar>
              <w:top w:type="dxa" w:w="70"/>
              <w:left w:type="dxa" w:w="110"/>
              <w:bottom w:type="dxa" w:w="70"/>
              <w:right w:type="dxa" w:w="110"/>
            </w:tcMar>
          </w:tcPr>
          <w:p>
            <w:r>
              <w:rPr>
                <w:rFonts w:ascii="Calibri" w:cs="Calibri" w:eastAsia="Calibri" w:hAnsi="Calibri"/>
                <w:sz w:val="19"/>
                <w:szCs w:val="19"/>
              </w:rPr>
              <w:t xml:space="preserve">Data notes</w:t>
            </w:r>
          </w:p>
        </w:tc>
        <w:tc>
          <w:tcPr>
            <w:tcW w:type="dxa" w:w="7301"/>
            <w:tcMar>
              <w:top w:type="dxa" w:w="70"/>
              <w:left w:type="dxa" w:w="110"/>
              <w:bottom w:type="dxa" w:w="70"/>
              <w:right w:type="dxa" w:w="110"/>
            </w:tcMar>
          </w:tcPr>
          <w:p>
            <w:r>
              <w:rPr>
                <w:rFonts w:ascii="Calibri" w:cs="Calibri" w:eastAsia="Calibri" w:hAnsi="Calibri"/>
                <w:sz w:val="19"/>
                <w:szCs w:val="19"/>
              </w:rPr>
              <w:t xml:space="preserve">What was excluded, and how each figure is counted</w:t>
            </w:r>
          </w:p>
        </w:tc>
      </w:tr>
    </w:tbl>
    <w:p>
      <w:pPr>
        <w:spacing w:after="120" w:before="0"/>
      </w:pPr>
      <w:r>
        <w:rPr>
          <w:rFonts w:ascii="Calibri" w:cs="Calibri" w:eastAsia="Calibri" w:hAnsi="Calibri"/>
          <w:sz w:val="21"/>
          <w:szCs w:val="21"/>
        </w:rPr>
        <w:t xml:space="preserve"/>
      </w:r>
    </w:p>
    <w:p>
      <w:pPr>
        <w:spacing w:after="120" w:before="0"/>
      </w:pPr>
      <w:r>
        <w:rPr>
          <w:rFonts w:ascii="Calibri" w:cs="Calibri" w:eastAsia="Calibri" w:hAnsi="Calibri"/>
          <w:i/>
          <w:iCs/>
          <w:sz w:val="21"/>
          <w:szCs w:val="21"/>
        </w:rPr>
        <w:t xml:space="preserve">The Data notes sheet is not an appendix. A count that travels without the records it had to exclude is a number nobody downstream can check, and this workbook is built to be forwarded.</w:t>
      </w:r>
    </w:p>
    <w:p>
      <w:pPr>
        <w:pStyle w:val="Heading1"/>
        <w:spacing w:after="140" w:before="320"/>
      </w:pPr>
      <w:r>
        <w:t xml:space="preserve">6. Reading the Data notes</w:t>
      </w:r>
    </w:p>
    <w:p>
      <w:pPr>
        <w:spacing w:after="120" w:before="0"/>
      </w:pPr>
      <w:r>
        <w:rPr>
          <w:rFonts w:ascii="Calibri" w:cs="Calibri" w:eastAsia="Calibri" w:hAnsi="Calibri"/>
          <w:sz w:val="21"/>
          <w:szCs w:val="21"/>
        </w:rPr>
        <w:t xml:space="preserve">This section appears on the page and in both exports. Read it before quoting any figure.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rPr>
          <w:tblHeader/>
        </w:trPr>
        <w:tc>
          <w:tcPr>
            <w:tcW w:type="dxa" w:w="2808"/>
            <w:shd w:fill="1F3864" w:val="clear"/>
            <w:tcMar>
              <w:top w:type="dxa" w:w="70"/>
              <w:left w:type="dxa" w:w="110"/>
              <w:bottom w:type="dxa" w:w="70"/>
              <w:right w:type="dxa" w:w="110"/>
            </w:tcMar>
          </w:tcPr>
          <w:p>
            <w:r>
              <w:rPr>
                <w:rFonts w:ascii="Calibri" w:cs="Calibri" w:eastAsia="Calibri" w:hAnsi="Calibri"/>
                <w:b/>
                <w:bCs/>
                <w:color w:val="FFFFFF"/>
                <w:sz w:val="19"/>
                <w:szCs w:val="19"/>
              </w:rPr>
              <w:t xml:space="preserve">Line</w:t>
            </w:r>
          </w:p>
        </w:tc>
        <w:tc>
          <w:tcPr>
            <w:tcW w:type="dxa" w:w="6552"/>
            <w:shd w:fill="1F3864" w:val="clear"/>
            <w:tcMar>
              <w:top w:type="dxa" w:w="70"/>
              <w:left w:type="dxa" w:w="110"/>
              <w:bottom w:type="dxa" w:w="70"/>
              <w:right w:type="dxa" w:w="110"/>
            </w:tcMar>
          </w:tcPr>
          <w:p>
            <w:r>
              <w:rPr>
                <w:rFonts w:ascii="Calibri" w:cs="Calibri" w:eastAsia="Calibri" w:hAnsi="Calibri"/>
                <w:b/>
                <w:bCs/>
                <w:color w:val="FFFFFF"/>
                <w:sz w:val="19"/>
                <w:szCs w:val="19"/>
              </w:rPr>
              <w:t xml:space="preserve">What it means and what to do</w:t>
            </w:r>
          </w:p>
        </w:tc>
      </w:tr>
      <w:tr>
        <w:tc>
          <w:tcPr>
            <w:tcW w:type="dxa" w:w="2808"/>
            <w:tcMar>
              <w:top w:type="dxa" w:w="70"/>
              <w:left w:type="dxa" w:w="110"/>
              <w:bottom w:type="dxa" w:w="70"/>
              <w:right w:type="dxa" w:w="110"/>
            </w:tcMar>
          </w:tcPr>
          <w:p>
            <w:r>
              <w:rPr>
                <w:rFonts w:ascii="Calibri" w:cs="Calibri" w:eastAsia="Calibri" w:hAnsi="Calibri"/>
                <w:sz w:val="19"/>
                <w:szCs w:val="19"/>
              </w:rPr>
              <w:t xml:space="preserve">No site, never enrolled</w:t>
            </w:r>
          </w:p>
        </w:tc>
        <w:tc>
          <w:tcPr>
            <w:tcW w:type="dxa" w:w="6552"/>
            <w:tcMar>
              <w:top w:type="dxa" w:w="70"/>
              <w:left w:type="dxa" w:w="110"/>
              <w:bottom w:type="dxa" w:w="70"/>
              <w:right w:type="dxa" w:w="110"/>
            </w:tcMar>
          </w:tcPr>
          <w:p>
            <w:r>
              <w:rPr>
                <w:rFonts w:ascii="Calibri" w:cs="Calibri" w:eastAsia="Calibri" w:hAnsi="Calibri"/>
                <w:sz w:val="19"/>
                <w:szCs w:val="19"/>
              </w:rPr>
              <w:t xml:space="preserve">Expected. Prescreening instances that never became enrolled babies — the bulk of any export. Ignore.</w:t>
            </w:r>
          </w:p>
        </w:tc>
      </w:tr>
      <w:tr>
        <w:tc>
          <w:tcPr>
            <w:tcW w:type="dxa" w:w="2808"/>
            <w:shd w:fill="F7F7F7" w:val="clear"/>
            <w:tcMar>
              <w:top w:type="dxa" w:w="70"/>
              <w:left w:type="dxa" w:w="110"/>
              <w:bottom w:type="dxa" w:w="70"/>
              <w:right w:type="dxa" w:w="110"/>
            </w:tcMar>
          </w:tcPr>
          <w:p>
            <w:r>
              <w:rPr>
                <w:rFonts w:ascii="Calibri" w:cs="Calibri" w:eastAsia="Calibri" w:hAnsi="Calibri"/>
                <w:sz w:val="19"/>
                <w:szCs w:val="19"/>
              </w:rPr>
              <w:t xml:space="preserve">No site but enrolled</w:t>
            </w:r>
          </w:p>
        </w:tc>
        <w:tc>
          <w:tcPr>
            <w:tcW w:type="dxa" w:w="6552"/>
            <w:shd w:fill="F7F7F7" w:val="clear"/>
            <w:tcMar>
              <w:top w:type="dxa" w:w="70"/>
              <w:left w:type="dxa" w:w="110"/>
              <w:bottom w:type="dxa" w:w="70"/>
              <w:right w:type="dxa" w:w="110"/>
            </w:tcMar>
          </w:tcPr>
          <w:p>
            <w:r>
              <w:rPr>
                <w:rFonts w:ascii="Calibri" w:cs="Calibri" w:eastAsia="Calibri" w:hAnsi="Calibri"/>
                <w:sz w:val="19"/>
                <w:szCs w:val="19"/>
              </w:rPr>
              <w:t xml:space="preserve">A real gap. These babies are counted nowhere. Anything above zero is worth chasing.</w:t>
            </w:r>
          </w:p>
        </w:tc>
      </w:tr>
      <w:tr>
        <w:tc>
          <w:tcPr>
            <w:tcW w:type="dxa" w:w="2808"/>
            <w:tcMar>
              <w:top w:type="dxa" w:w="70"/>
              <w:left w:type="dxa" w:w="110"/>
              <w:bottom w:type="dxa" w:w="70"/>
              <w:right w:type="dxa" w:w="110"/>
            </w:tcMar>
          </w:tcPr>
          <w:p>
            <w:r>
              <w:rPr>
                <w:rFonts w:ascii="Calibri" w:cs="Calibri" w:eastAsia="Calibri" w:hAnsi="Calibri"/>
                <w:sz w:val="19"/>
                <w:szCs w:val="19"/>
              </w:rPr>
              <w:t xml:space="preserve">TYP_LAMA / TYP_DOPR with no discharge date</w:t>
            </w:r>
          </w:p>
        </w:tc>
        <w:tc>
          <w:tcPr>
            <w:tcW w:type="dxa" w:w="6552"/>
            <w:tcMar>
              <w:top w:type="dxa" w:w="70"/>
              <w:left w:type="dxa" w:w="110"/>
              <w:bottom w:type="dxa" w:w="70"/>
              <w:right w:type="dxa" w:w="110"/>
            </w:tcMar>
          </w:tcPr>
          <w:p>
            <w:r>
              <w:rPr>
                <w:rFonts w:ascii="Calibri" w:cs="Calibri" w:eastAsia="Calibri" w:hAnsi="Calibri"/>
                <w:sz w:val="19"/>
                <w:szCs w:val="19"/>
              </w:rPr>
              <w:t xml:space="preserve">A discharge type was recorded but dis_datetime is blank, so the event cannot be placed in a month and is not counted. Directly reduces the figures on this report.</w:t>
            </w:r>
          </w:p>
        </w:tc>
      </w:tr>
      <w:tr>
        <w:tc>
          <w:tcPr>
            <w:tcW w:type="dxa" w:w="2808"/>
            <w:shd w:fill="F7F7F7" w:val="clear"/>
            <w:tcMar>
              <w:top w:type="dxa" w:w="70"/>
              <w:left w:type="dxa" w:w="110"/>
              <w:bottom w:type="dxa" w:w="70"/>
              <w:right w:type="dxa" w:w="110"/>
            </w:tcMar>
          </w:tcPr>
          <w:p>
            <w:r>
              <w:rPr>
                <w:rFonts w:ascii="Calibri" w:cs="Calibri" w:eastAsia="Calibri" w:hAnsi="Calibri"/>
                <w:sz w:val="19"/>
                <w:szCs w:val="19"/>
              </w:rPr>
              <w:t xml:space="preserve">SAE with Q8 blank</w:t>
            </w:r>
          </w:p>
        </w:tc>
        <w:tc>
          <w:tcPr>
            <w:tcW w:type="dxa" w:w="6552"/>
            <w:shd w:fill="F7F7F7" w:val="clear"/>
            <w:tcMar>
              <w:top w:type="dxa" w:w="70"/>
              <w:left w:type="dxa" w:w="110"/>
              <w:bottom w:type="dxa" w:w="70"/>
              <w:right w:type="dxa" w:w="110"/>
            </w:tcMar>
          </w:tcPr>
          <w:p>
            <w:r>
              <w:rPr>
                <w:rFonts w:ascii="Calibri" w:cs="Calibri" w:eastAsia="Calibri" w:hAnsi="Calibri"/>
                <w:sz w:val="19"/>
                <w:szCs w:val="19"/>
              </w:rPr>
              <w:t xml:space="preserve">Not counted, because SAEs are dated by Q8. If the adjacent “Q5 filled but Q8 blank” line is anything other than near zero, Q8 is not the field sites are filling and the dating field must be reconsidered before these figures are presented.</w:t>
            </w:r>
          </w:p>
        </w:tc>
      </w:tr>
      <w:tr>
        <w:tc>
          <w:tcPr>
            <w:tcW w:type="dxa" w:w="2808"/>
            <w:tcMar>
              <w:top w:type="dxa" w:w="70"/>
              <w:left w:type="dxa" w:w="110"/>
              <w:bottom w:type="dxa" w:w="70"/>
              <w:right w:type="dxa" w:w="110"/>
            </w:tcMar>
          </w:tcPr>
          <w:p>
            <w:r>
              <w:rPr>
                <w:rFonts w:ascii="Calibri" w:cs="Calibri" w:eastAsia="Calibri" w:hAnsi="Calibri"/>
                <w:sz w:val="19"/>
                <w:szCs w:val="19"/>
              </w:rPr>
              <w:t xml:space="preserve">Discharge / SAE site differs from enrollment</w:t>
            </w:r>
          </w:p>
        </w:tc>
        <w:tc>
          <w:tcPr>
            <w:tcW w:type="dxa" w:w="6552"/>
            <w:tcMar>
              <w:top w:type="dxa" w:w="70"/>
              <w:left w:type="dxa" w:w="110"/>
              <w:bottom w:type="dxa" w:w="70"/>
              <w:right w:type="dxa" w:w="110"/>
            </w:tcMar>
          </w:tcPr>
          <w:p>
            <w:r>
              <w:rPr>
                <w:rFonts w:ascii="Calibri" w:cs="Calibri" w:eastAsia="Calibri" w:hAnsi="Calibri"/>
                <w:sz w:val="19"/>
                <w:szCs w:val="19"/>
              </w:rPr>
              <w:t xml:space="preserve">The later form carries a different hospital code. The enrollment code wins. A large number here is a data-entry question for the sites.</w:t>
            </w:r>
          </w:p>
        </w:tc>
      </w:tr>
      <w:tr>
        <w:tc>
          <w:tcPr>
            <w:tcW w:type="dxa" w:w="2808"/>
            <w:shd w:fill="F7F7F7" w:val="clear"/>
            <w:tcMar>
              <w:top w:type="dxa" w:w="70"/>
              <w:left w:type="dxa" w:w="110"/>
              <w:bottom w:type="dxa" w:w="70"/>
              <w:right w:type="dxa" w:w="110"/>
            </w:tcMar>
          </w:tcPr>
          <w:p>
            <w:r>
              <w:rPr>
                <w:rFonts w:ascii="Calibri" w:cs="Calibri" w:eastAsia="Calibri" w:hAnsi="Calibri"/>
                <w:sz w:val="19"/>
                <w:szCs w:val="19"/>
              </w:rPr>
              <w:t xml:space="preserve">Unplaceable on the cohort basis</w:t>
            </w:r>
          </w:p>
        </w:tc>
        <w:tc>
          <w:tcPr>
            <w:tcW w:type="dxa" w:w="6552"/>
            <w:shd w:fill="F7F7F7" w:val="clear"/>
            <w:tcMar>
              <w:top w:type="dxa" w:w="70"/>
              <w:left w:type="dxa" w:w="110"/>
              <w:bottom w:type="dxa" w:w="70"/>
              <w:right w:type="dxa" w:w="110"/>
            </w:tcMar>
          </w:tcPr>
          <w:p>
            <w:r>
              <w:rPr>
                <w:rFonts w:ascii="Calibri" w:cs="Calibri" w:eastAsia="Calibri" w:hAnsi="Calibri"/>
                <w:sz w:val="19"/>
                <w:szCs w:val="19"/>
              </w:rPr>
              <w:t xml:space="preserve">Exactly the gap between the two bases’ totals. Explains, rather than hides, why switching the radio button changes a number.</w:t>
            </w:r>
          </w:p>
        </w:tc>
      </w:tr>
    </w:tbl>
    <w:p>
      <w:r>
        <w:br w:type="page"/>
      </w:r>
    </w:p>
    <w:p>
      <w:pPr>
        <w:pStyle w:val="Heading1"/>
        <w:spacing w:after="140" w:before="320"/>
      </w:pPr>
      <w:r>
        <w:t xml:space="preserve">7. Files and wiring</w:t>
      </w:r>
    </w:p>
    <w:p>
      <w:pPr>
        <w:spacing w:after="120" w:before="0"/>
      </w:pPr>
      <w:r>
        <w:rPr>
          <w:rFonts w:ascii="Calibri" w:cs="Calibri" w:eastAsia="Calibri" w:hAnsi="Calibri"/>
          <w:sz w:val="21"/>
          <w:szCs w:val="21"/>
        </w:rPr>
        <w:t xml:space="preserve">For whoever maintains this next.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31"/>
        <w:gridCol w:w="5429"/>
      </w:tblGrid>
      <w:tr>
        <w:trPr>
          <w:tblHeader/>
        </w:trPr>
        <w:tc>
          <w:tcPr>
            <w:tcW w:type="dxa" w:w="3931"/>
            <w:shd w:fill="1F3864" w:val="clear"/>
            <w:tcMar>
              <w:top w:type="dxa" w:w="70"/>
              <w:left w:type="dxa" w:w="110"/>
              <w:bottom w:type="dxa" w:w="70"/>
              <w:right w:type="dxa" w:w="110"/>
            </w:tcMar>
          </w:tcPr>
          <w:p>
            <w:r>
              <w:rPr>
                <w:rFonts w:ascii="Calibri" w:cs="Calibri" w:eastAsia="Calibri" w:hAnsi="Calibri"/>
                <w:b/>
                <w:bCs/>
                <w:color w:val="FFFFFF"/>
                <w:sz w:val="19"/>
                <w:szCs w:val="19"/>
              </w:rPr>
              <w:t xml:space="preserve">File</w:t>
            </w:r>
          </w:p>
        </w:tc>
        <w:tc>
          <w:tcPr>
            <w:tcW w:type="dxa" w:w="5429"/>
            <w:shd w:fill="1F3864" w:val="clear"/>
            <w:tcMar>
              <w:top w:type="dxa" w:w="70"/>
              <w:left w:type="dxa" w:w="110"/>
              <w:bottom w:type="dxa" w:w="70"/>
              <w:right w:type="dxa" w:w="110"/>
            </w:tcMar>
          </w:tcPr>
          <w:p>
            <w:r>
              <w:rPr>
                <w:rFonts w:ascii="Calibri" w:cs="Calibri" w:eastAsia="Calibri" w:hAnsi="Calibri"/>
                <w:b/>
                <w:bCs/>
                <w:color w:val="FFFFFF"/>
                <w:sz w:val="19"/>
                <w:szCs w:val="19"/>
              </w:rPr>
              <w:t xml:space="preserve">Location</w:t>
            </w:r>
          </w:p>
        </w:tc>
      </w:tr>
      <w:tr>
        <w:tc>
          <w:tcPr>
            <w:tcW w:type="dxa" w:w="3931"/>
            <w:tcMar>
              <w:top w:type="dxa" w:w="70"/>
              <w:left w:type="dxa" w:w="110"/>
              <w:bottom w:type="dxa" w:w="70"/>
              <w:right w:type="dxa" w:w="110"/>
            </w:tcMar>
          </w:tcPr>
          <w:p>
            <w:r>
              <w:rPr>
                <w:rFonts w:ascii="Calibri" w:cs="Calibri" w:eastAsia="Calibri" w:hAnsi="Calibri"/>
                <w:sz w:val="19"/>
                <w:szCs w:val="19"/>
              </w:rPr>
              <w:t xml:space="preserve">MonthlySiteSummaryAggregator.php</w:t>
            </w:r>
          </w:p>
        </w:tc>
        <w:tc>
          <w:tcPr>
            <w:tcW w:type="dxa" w:w="5429"/>
            <w:tcMar>
              <w:top w:type="dxa" w:w="70"/>
              <w:left w:type="dxa" w:w="110"/>
              <w:bottom w:type="dxa" w:w="70"/>
              <w:right w:type="dxa" w:w="110"/>
            </w:tcMar>
          </w:tcPr>
          <w:p>
            <w:r>
              <w:rPr>
                <w:rFonts w:ascii="Calibri" w:cs="Calibri" w:eastAsia="Calibri" w:hAnsi="Calibri"/>
                <w:sz w:val="19"/>
                <w:szCs w:val="19"/>
              </w:rPr>
              <w:t xml:space="preserve">projects/Emollient/Aggregator/</w:t>
            </w:r>
          </w:p>
        </w:tc>
      </w:tr>
      <w:tr>
        <w:tc>
          <w:tcPr>
            <w:tcW w:type="dxa" w:w="3931"/>
            <w:shd w:fill="F7F7F7" w:val="clear"/>
            <w:tcMar>
              <w:top w:type="dxa" w:w="70"/>
              <w:left w:type="dxa" w:w="110"/>
              <w:bottom w:type="dxa" w:w="70"/>
              <w:right w:type="dxa" w:w="110"/>
            </w:tcMar>
          </w:tcPr>
          <w:p>
            <w:r>
              <w:rPr>
                <w:rFonts w:ascii="Calibri" w:cs="Calibri" w:eastAsia="Calibri" w:hAnsi="Calibri"/>
                <w:sz w:val="19"/>
                <w:szCs w:val="19"/>
              </w:rPr>
              <w:t xml:space="preserve">MonthlySiteSummaryHtmlExporter.php</w:t>
            </w:r>
          </w:p>
        </w:tc>
        <w:tc>
          <w:tcPr>
            <w:tcW w:type="dxa" w:w="5429"/>
            <w:shd w:fill="F7F7F7" w:val="clear"/>
            <w:tcMar>
              <w:top w:type="dxa" w:w="70"/>
              <w:left w:type="dxa" w:w="110"/>
              <w:bottom w:type="dxa" w:w="70"/>
              <w:right w:type="dxa" w:w="110"/>
            </w:tcMar>
          </w:tcPr>
          <w:p>
            <w:r>
              <w:rPr>
                <w:rFonts w:ascii="Calibri" w:cs="Calibri" w:eastAsia="Calibri" w:hAnsi="Calibri"/>
                <w:sz w:val="19"/>
                <w:szCs w:val="19"/>
              </w:rPr>
              <w:t xml:space="preserve">projects/Emollient/Export/</w:t>
            </w:r>
          </w:p>
        </w:tc>
      </w:tr>
      <w:tr>
        <w:tc>
          <w:tcPr>
            <w:tcW w:type="dxa" w:w="3931"/>
            <w:tcMar>
              <w:top w:type="dxa" w:w="70"/>
              <w:left w:type="dxa" w:w="110"/>
              <w:bottom w:type="dxa" w:w="70"/>
              <w:right w:type="dxa" w:w="110"/>
            </w:tcMar>
          </w:tcPr>
          <w:p>
            <w:r>
              <w:rPr>
                <w:rFonts w:ascii="Calibri" w:cs="Calibri" w:eastAsia="Calibri" w:hAnsi="Calibri"/>
                <w:sz w:val="19"/>
                <w:szCs w:val="19"/>
              </w:rPr>
              <w:t xml:space="preserve">MonthlySiteSummaryCsvExporter.php</w:t>
            </w:r>
          </w:p>
        </w:tc>
        <w:tc>
          <w:tcPr>
            <w:tcW w:type="dxa" w:w="5429"/>
            <w:tcMar>
              <w:top w:type="dxa" w:w="70"/>
              <w:left w:type="dxa" w:w="110"/>
              <w:bottom w:type="dxa" w:w="70"/>
              <w:right w:type="dxa" w:w="110"/>
            </w:tcMar>
          </w:tcPr>
          <w:p>
            <w:r>
              <w:rPr>
                <w:rFonts w:ascii="Calibri" w:cs="Calibri" w:eastAsia="Calibri" w:hAnsi="Calibri"/>
                <w:sz w:val="19"/>
                <w:szCs w:val="19"/>
              </w:rPr>
              <w:t xml:space="preserve">projects/Emollient/Export/</w:t>
            </w:r>
          </w:p>
        </w:tc>
      </w:tr>
      <w:tr>
        <w:tc>
          <w:tcPr>
            <w:tcW w:type="dxa" w:w="3931"/>
            <w:shd w:fill="F7F7F7" w:val="clear"/>
            <w:tcMar>
              <w:top w:type="dxa" w:w="70"/>
              <w:left w:type="dxa" w:w="110"/>
              <w:bottom w:type="dxa" w:w="70"/>
              <w:right w:type="dxa" w:w="110"/>
            </w:tcMar>
          </w:tcPr>
          <w:p>
            <w:r>
              <w:rPr>
                <w:rFonts w:ascii="Calibri" w:cs="Calibri" w:eastAsia="Calibri" w:hAnsi="Calibri"/>
                <w:sz w:val="19"/>
                <w:szCs w:val="19"/>
              </w:rPr>
              <w:t xml:space="preserve">MonthlySiteSummaryExcelExporter.php</w:t>
            </w:r>
          </w:p>
        </w:tc>
        <w:tc>
          <w:tcPr>
            <w:tcW w:type="dxa" w:w="5429"/>
            <w:shd w:fill="F7F7F7" w:val="clear"/>
            <w:tcMar>
              <w:top w:type="dxa" w:w="70"/>
              <w:left w:type="dxa" w:w="110"/>
              <w:bottom w:type="dxa" w:w="70"/>
              <w:right w:type="dxa" w:w="110"/>
            </w:tcMar>
          </w:tcPr>
          <w:p>
            <w:r>
              <w:rPr>
                <w:rFonts w:ascii="Calibri" w:cs="Calibri" w:eastAsia="Calibri" w:hAnsi="Calibri"/>
                <w:sz w:val="19"/>
                <w:szCs w:val="19"/>
              </w:rPr>
              <w:t xml:space="preserve">projects/Emollient/Export/</w:t>
            </w:r>
          </w:p>
        </w:tc>
      </w:tr>
      <w:tr>
        <w:tc>
          <w:tcPr>
            <w:tcW w:type="dxa" w:w="3931"/>
            <w:tcMar>
              <w:top w:type="dxa" w:w="70"/>
              <w:left w:type="dxa" w:w="110"/>
              <w:bottom w:type="dxa" w:w="70"/>
              <w:right w:type="dxa" w:w="110"/>
            </w:tcMar>
          </w:tcPr>
          <w:p>
            <w:r>
              <w:rPr>
                <w:rFonts w:ascii="Calibri" w:cs="Calibri" w:eastAsia="Calibri" w:hAnsi="Calibri"/>
                <w:sz w:val="19"/>
                <w:szCs w:val="19"/>
              </w:rPr>
              <w:t xml:space="preserve">run_monthly_summary.php</w:t>
            </w:r>
          </w:p>
        </w:tc>
        <w:tc>
          <w:tcPr>
            <w:tcW w:type="dxa" w:w="5429"/>
            <w:tcMar>
              <w:top w:type="dxa" w:w="70"/>
              <w:left w:type="dxa" w:w="110"/>
              <w:bottom w:type="dxa" w:w="70"/>
              <w:right w:type="dxa" w:w="110"/>
            </w:tcMar>
          </w:tcPr>
          <w:p>
            <w:r>
              <w:rPr>
                <w:rFonts w:ascii="Calibri" w:cs="Calibri" w:eastAsia="Calibri" w:hAnsi="Calibri"/>
                <w:sz w:val="19"/>
                <w:szCs w:val="19"/>
              </w:rPr>
              <w:t xml:space="preserve">tools/ — runs the aggregator outside the engine</w:t>
            </w:r>
          </w:p>
        </w:tc>
      </w:tr>
      <w:tr>
        <w:tc>
          <w:tcPr>
            <w:tcW w:type="dxa" w:w="3931"/>
            <w:shd w:fill="F7F7F7" w:val="clear"/>
            <w:tcMar>
              <w:top w:type="dxa" w:w="70"/>
              <w:left w:type="dxa" w:w="110"/>
              <w:bottom w:type="dxa" w:w="70"/>
              <w:right w:type="dxa" w:w="110"/>
            </w:tcMar>
          </w:tcPr>
          <w:p>
            <w:r>
              <w:rPr>
                <w:rFonts w:ascii="Calibri" w:cs="Calibri" w:eastAsia="Calibri" w:hAnsi="Calibri"/>
                <w:sz w:val="19"/>
                <w:szCs w:val="19"/>
              </w:rPr>
              <w:t xml:space="preserve">test_agg.php</w:t>
            </w:r>
          </w:p>
        </w:tc>
        <w:tc>
          <w:tcPr>
            <w:tcW w:type="dxa" w:w="5429"/>
            <w:shd w:fill="F7F7F7" w:val="clear"/>
            <w:tcMar>
              <w:top w:type="dxa" w:w="70"/>
              <w:left w:type="dxa" w:w="110"/>
              <w:bottom w:type="dxa" w:w="70"/>
              <w:right w:type="dxa" w:w="110"/>
            </w:tcMar>
          </w:tcPr>
          <w:p>
            <w:r>
              <w:rPr>
                <w:rFonts w:ascii="Calibri" w:cs="Calibri" w:eastAsia="Calibri" w:hAnsi="Calibri"/>
                <w:sz w:val="19"/>
                <w:szCs w:val="19"/>
              </w:rPr>
              <w:t xml:space="preserve">tools/ — 43 assertions, no REDCap call</w:t>
            </w:r>
          </w:p>
        </w:tc>
      </w:tr>
      <w:tr>
        <w:tc>
          <w:tcPr>
            <w:tcW w:type="dxa" w:w="3931"/>
            <w:tcMar>
              <w:top w:type="dxa" w:w="70"/>
              <w:left w:type="dxa" w:w="110"/>
              <w:bottom w:type="dxa" w:w="70"/>
              <w:right w:type="dxa" w:w="110"/>
            </w:tcMar>
          </w:tcPr>
          <w:p>
            <w:r>
              <w:rPr>
                <w:rFonts w:ascii="Calibri" w:cs="Calibri" w:eastAsia="Calibri" w:hAnsi="Calibri"/>
                <w:sz w:val="19"/>
                <w:szCs w:val="19"/>
              </w:rPr>
              <w:t xml:space="preserve">install_monthly_summary.sh</w:t>
            </w:r>
          </w:p>
        </w:tc>
        <w:tc>
          <w:tcPr>
            <w:tcW w:type="dxa" w:w="5429"/>
            <w:tcMar>
              <w:top w:type="dxa" w:w="70"/>
              <w:left w:type="dxa" w:w="110"/>
              <w:bottom w:type="dxa" w:w="70"/>
              <w:right w:type="dxa" w:w="110"/>
            </w:tcMar>
          </w:tcPr>
          <w:p>
            <w:r>
              <w:rPr>
                <w:rFonts w:ascii="Calibri" w:cs="Calibri" w:eastAsia="Calibri" w:hAnsi="Calibri"/>
                <w:sz w:val="19"/>
                <w:szCs w:val="19"/>
              </w:rPr>
              <w:t xml:space="preserve">tools/ — places the files</w:t>
            </w:r>
          </w:p>
        </w:tc>
      </w:tr>
      <w:tr>
        <w:tc>
          <w:tcPr>
            <w:tcW w:type="dxa" w:w="3931"/>
            <w:shd w:fill="F7F7F7" w:val="clear"/>
            <w:tcMar>
              <w:top w:type="dxa" w:w="70"/>
              <w:left w:type="dxa" w:w="110"/>
              <w:bottom w:type="dxa" w:w="70"/>
              <w:right w:type="dxa" w:w="110"/>
            </w:tcMar>
          </w:tcPr>
          <w:p>
            <w:r>
              <w:rPr>
                <w:rFonts w:ascii="Calibri" w:cs="Calibri" w:eastAsia="Calibri" w:hAnsi="Calibri"/>
                <w:sz w:val="19"/>
                <w:szCs w:val="19"/>
              </w:rPr>
              <w:t xml:space="preserve">wire_monthly_summary.py</w:t>
            </w:r>
          </w:p>
        </w:tc>
        <w:tc>
          <w:tcPr>
            <w:tcW w:type="dxa" w:w="5429"/>
            <w:shd w:fill="F7F7F7" w:val="clear"/>
            <w:tcMar>
              <w:top w:type="dxa" w:w="70"/>
              <w:left w:type="dxa" w:w="110"/>
              <w:bottom w:type="dxa" w:w="70"/>
              <w:right w:type="dxa" w:w="110"/>
            </w:tcMar>
          </w:tcPr>
          <w:p>
            <w:r>
              <w:rPr>
                <w:rFonts w:ascii="Calibri" w:cs="Calibri" w:eastAsia="Calibri" w:hAnsi="Calibri"/>
                <w:sz w:val="19"/>
                <w:szCs w:val="19"/>
              </w:rPr>
              <w:t xml:space="preserve">tools/ — the three registration edits</w:t>
            </w:r>
          </w:p>
        </w:tc>
      </w:tr>
    </w:tbl>
    <w:p>
      <w:pPr>
        <w:spacing w:after="120" w:before="0"/>
      </w:pPr>
      <w:r>
        <w:rPr>
          <w:rFonts w:ascii="Calibri" w:cs="Calibri" w:eastAsia="Calibri" w:hAnsi="Calibri"/>
          <w:sz w:val="21"/>
          <w:szCs w:val="21"/>
        </w:rPr>
        <w:t xml:space="preserve"/>
      </w:r>
    </w:p>
    <w:p>
      <w:pPr>
        <w:pStyle w:val="Heading2"/>
        <w:spacing w:after="110" w:before="240"/>
      </w:pPr>
      <w:r>
        <w:t xml:space="preserve">7.1 Registration</w:t>
      </w:r>
    </w:p>
    <w:p>
      <w:pPr>
        <w:pStyle w:val="ListParagraph"/>
        <w:numPr>
          <w:ilvl w:val="0"/>
          <w:numId w:val="2"/>
        </w:numPr>
        <w:spacing w:after="70"/>
      </w:pPr>
      <w:r>
        <w:rPr>
          <w:rFonts w:ascii="Calibri" w:cs="Calibri" w:eastAsia="Calibri" w:hAnsi="Calibri"/>
          <w:sz w:val="21"/>
          <w:szCs w:val="21"/>
        </w:rPr>
        <w:t xml:space="preserve">shared-lib/src/Domain/Export/ExporterRegistry.php — three alias lines: monthly_site_summary, _csv and _excel.</w:t>
      </w:r>
    </w:p>
    <w:p>
      <w:pPr>
        <w:pStyle w:val="ListParagraph"/>
        <w:numPr>
          <w:ilvl w:val="0"/>
          <w:numId w:val="2"/>
        </w:numPr>
        <w:spacing w:after="70"/>
      </w:pPr>
      <w:r>
        <w:rPr>
          <w:rFonts w:ascii="Calibri" w:cs="Calibri" w:eastAsia="Calibri" w:hAnsi="Calibri"/>
          <w:sz w:val="21"/>
          <w:szCs w:val="21"/>
        </w:rPr>
        <w:t xml:space="preserve">projects/Emollient/Aggregator/AggregatorRegistry.php — one register() call inside boot().</w:t>
      </w:r>
    </w:p>
    <w:p>
      <w:pPr>
        <w:pStyle w:val="ListParagraph"/>
        <w:numPr>
          <w:ilvl w:val="0"/>
          <w:numId w:val="2"/>
        </w:numPr>
        <w:spacing w:after="70"/>
      </w:pPr>
      <w:r>
        <w:rPr>
          <w:rFonts w:ascii="Calibri" w:cs="Calibri" w:eastAsia="Calibri" w:hAnsi="Calibri"/>
          <w:sz w:val="21"/>
          <w:szCs w:val="21"/>
        </w:rPr>
        <w:t xml:space="preserve">projects/Emollient/reports.php — the MonthlySiteSummary definition. Its ‘group’ key decides where it appears in the menu, so its position in the file does not matter.</w:t>
      </w:r>
    </w:p>
    <w:p>
      <w:pPr>
        <w:spacing w:after="120" w:before="0"/>
      </w:pPr>
      <w:r>
        <w:rPr>
          <w:rFonts w:ascii="Calibri" w:cs="Calibri" w:eastAsia="Calibri" w:hAnsi="Calibri"/>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FF2CC" w:val="clear"/>
            <w:tcMar>
              <w:top w:type="dxa" w:w="110"/>
              <w:left w:type="dxa" w:w="160"/>
              <w:bottom w:type="dxa" w:w="110"/>
              <w:right w:type="dxa" w:w="160"/>
            </w:tcMar>
          </w:tcPr>
          <w:p>
            <w:pPr>
              <w:spacing w:after="60"/>
            </w:pPr>
            <w:r>
              <w:rPr>
                <w:rFonts w:ascii="Calibri" w:cs="Calibri" w:eastAsia="Calibri" w:hAnsi="Calibri"/>
                <w:b/>
                <w:bCs/>
                <w:sz w:val="21"/>
                <w:szCs w:val="21"/>
              </w:rPr>
              <w:t xml:space="preserve">Keep the field list and the aggregator in step</w:t>
            </w:r>
          </w:p>
          <w:p>
            <w:r>
              <w:rPr>
                <w:rFonts w:ascii="Calibri" w:cs="Calibri" w:eastAsia="Calibri" w:hAnsi="Calibri"/>
                <w:sz w:val="20"/>
                <w:szCs w:val="20"/>
              </w:rPr>
              <w:t xml:space="preserve">The aggregator reads enr_study_arm, sae_start_date and dis_in_hosp, among others. A field the aggregator reads but reports.php does not fetch comes back empty and the figure silently becomes zero — with no error anywhere. That is exactly the state the Monthly Dashboard’s Intervention/Control split was found in: the aggregator reads enr_study_arm at line 146 and the report definition never fetched it. Any change to one must be checked against the other.</w:t>
            </w:r>
          </w:p>
        </w:tc>
      </w:tr>
    </w:tbl>
    <w:p>
      <w:pPr>
        <w:pStyle w:val="Heading2"/>
        <w:spacing w:after="110" w:before="240"/>
      </w:pPr>
      <w:r>
        <w:t xml:space="preserve">7.2 Verifying a change</w:t>
      </w:r>
    </w:p>
    <w:p>
      <w:pPr>
        <w:shd w:fill="F2F2F2" w:val="clear"/>
        <w:spacing w:after="80"/>
      </w:pPr>
      <w:r>
        <w:rPr>
          <w:rFonts w:ascii="Consolas" w:cs="Consolas" w:eastAsia="Consolas" w:hAnsi="Consolas"/>
          <w:sz w:val="18"/>
          <w:szCs w:val="18"/>
        </w:rPr>
        <w:t xml:space="preserve">php tools/test_agg.php                  # 43 assertions, no REDCap call</w:t>
      </w:r>
    </w:p>
    <w:p>
      <w:pPr>
        <w:shd w:fill="F2F2F2" w:val="clear"/>
        <w:spacing w:after="80"/>
      </w:pPr>
      <w:r>
        <w:rPr>
          <w:rFonts w:ascii="Consolas" w:cs="Consolas" w:eastAsia="Consolas" w:hAnsi="Consolas"/>
          <w:sz w:val="18"/>
          <w:szCs w:val="18"/>
        </w:rPr>
        <w:t xml:space="preserve">php tools/run_monthly_summary.php --html=/tmp/tsc.html --save=/tmp/e.json</w:t>
      </w:r>
    </w:p>
    <w:p>
      <w:pPr>
        <w:shd w:fill="F2F2F2" w:val="clear"/>
        <w:spacing w:after="80"/>
      </w:pPr>
      <w:r>
        <w:rPr>
          <w:rFonts w:ascii="Consolas" w:cs="Consolas" w:eastAsia="Consolas" w:hAnsi="Consolas"/>
          <w:sz w:val="18"/>
          <w:szCs w:val="18"/>
        </w:rPr>
        <w:t xml:space="preserve">php tools/run_monthly_summary.php --file=/tmp/e.json --csv=/tmp/out</w:t>
      </w:r>
    </w:p>
    <w:p>
      <w:pPr>
        <w:spacing w:after="120" w:before="0"/>
      </w:pPr>
      <w:r>
        <w:rPr>
          <w:rFonts w:ascii="Calibri" w:cs="Calibri" w:eastAsia="Calibri" w:hAnsi="Calibri"/>
          <w:sz w:val="21"/>
          <w:szCs w:val="21"/>
        </w:rPr>
        <w:t xml:space="preserve">The first proves the logic against records whose correct answer is known. The second runs the real exporter against live data. --save keeps the raw export so later runs use --file and skip REDCap entirely, which matters when reconciling a figure with a site over several days.</w:t>
      </w:r>
    </w:p>
    <w:p>
      <w:pPr>
        <w:spacing w:after="120" w:before="0"/>
      </w:pPr>
      <w:r>
        <w:rPr>
          <w:rFonts w:ascii="Calibri" w:cs="Calibri" w:eastAsia="Calibri" w:hAnsi="Calibri"/>
          <w:sz w:val="21"/>
          <w:szCs w:val="21"/>
        </w:rPr>
        <w:t xml:space="preserve">One assertion is worth knowing about: the suite checks that the difference between the two bases’ grand totals equals the unplaceable count exactly. If those ever drift apart, the test fails rather than the report quietly disagreeing with itself.</w:t>
      </w:r>
    </w:p>
    <w:p>
      <w:pPr>
        <w:pStyle w:val="Heading1"/>
        <w:spacing w:after="140" w:before="320"/>
      </w:pPr>
      <w:r>
        <w:t xml:space="preserve">8. Open at the time of writing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21"/>
        <w:gridCol w:w="6739"/>
      </w:tblGrid>
      <w:tr>
        <w:trPr>
          <w:tblHeader/>
        </w:trPr>
        <w:tc>
          <w:tcPr>
            <w:tcW w:type="dxa" w:w="2621"/>
            <w:shd w:fill="1F3864" w:val="clear"/>
            <w:tcMar>
              <w:top w:type="dxa" w:w="70"/>
              <w:left w:type="dxa" w:w="110"/>
              <w:bottom w:type="dxa" w:w="70"/>
              <w:right w:type="dxa" w:w="110"/>
            </w:tcMar>
          </w:tcPr>
          <w:p>
            <w:r>
              <w:rPr>
                <w:rFonts w:ascii="Calibri" w:cs="Calibri" w:eastAsia="Calibri" w:hAnsi="Calibri"/>
                <w:b/>
                <w:bCs/>
                <w:color w:val="FFFFFF"/>
                <w:sz w:val="19"/>
                <w:szCs w:val="19"/>
              </w:rPr>
              <w:t xml:space="preserve">Item</w:t>
            </w:r>
          </w:p>
        </w:tc>
        <w:tc>
          <w:tcPr>
            <w:tcW w:type="dxa" w:w="6739"/>
            <w:shd w:fill="1F3864" w:val="clear"/>
            <w:tcMar>
              <w:top w:type="dxa" w:w="70"/>
              <w:left w:type="dxa" w:w="110"/>
              <w:bottom w:type="dxa" w:w="70"/>
              <w:right w:type="dxa" w:w="110"/>
            </w:tcMar>
          </w:tcPr>
          <w:p>
            <w:r>
              <w:rPr>
                <w:rFonts w:ascii="Calibri" w:cs="Calibri" w:eastAsia="Calibri" w:hAnsi="Calibri"/>
                <w:b/>
                <w:bCs/>
                <w:color w:val="FFFFFF"/>
                <w:sz w:val="19"/>
                <w:szCs w:val="19"/>
              </w:rPr>
              <w:t xml:space="preserve">Detail</w:t>
            </w:r>
          </w:p>
        </w:tc>
      </w:tr>
      <w:tr>
        <w:tc>
          <w:tcPr>
            <w:tcW w:type="dxa" w:w="2621"/>
            <w:tcMar>
              <w:top w:type="dxa" w:w="70"/>
              <w:left w:type="dxa" w:w="110"/>
              <w:bottom w:type="dxa" w:w="70"/>
              <w:right w:type="dxa" w:w="110"/>
            </w:tcMar>
          </w:tcPr>
          <w:p>
            <w:r>
              <w:rPr>
                <w:rFonts w:ascii="Calibri" w:cs="Calibri" w:eastAsia="Calibri" w:hAnsi="Calibri"/>
                <w:sz w:val="19"/>
                <w:szCs w:val="19"/>
              </w:rPr>
              <w:t xml:space="preserve">Cross-check against existing reports</w:t>
            </w:r>
          </w:p>
        </w:tc>
        <w:tc>
          <w:tcPr>
            <w:tcW w:type="dxa" w:w="6739"/>
            <w:tcMar>
              <w:top w:type="dxa" w:w="70"/>
              <w:left w:type="dxa" w:w="110"/>
              <w:bottom w:type="dxa" w:w="70"/>
              <w:right w:type="dxa" w:w="110"/>
            </w:tcMar>
          </w:tcPr>
          <w:p>
            <w:r>
              <w:rPr>
                <w:rFonts w:ascii="Calibri" w:cs="Calibri" w:eastAsia="Calibri" w:hAnsi="Calibri"/>
                <w:sz w:val="19"/>
                <w:szCs w:val="19"/>
              </w:rPr>
              <w:t xml:space="preserve">Enrollment totals from this report must agree with the Weekly Enrollment Report, and deaths with Clinical Outcomes. A TSC paper that disagrees with another CEL report is worse than no report. Not yet done.</w:t>
            </w:r>
          </w:p>
        </w:tc>
      </w:tr>
      <w:tr>
        <w:tc>
          <w:tcPr>
            <w:tcW w:type="dxa" w:w="2621"/>
            <w:shd w:fill="F7F7F7" w:val="clear"/>
            <w:tcMar>
              <w:top w:type="dxa" w:w="70"/>
              <w:left w:type="dxa" w:w="110"/>
              <w:bottom w:type="dxa" w:w="70"/>
              <w:right w:type="dxa" w:w="110"/>
            </w:tcMar>
          </w:tcPr>
          <w:p>
            <w:r>
              <w:rPr>
                <w:rFonts w:ascii="Calibri" w:cs="Calibri" w:eastAsia="Calibri" w:hAnsi="Calibri"/>
                <w:sz w:val="19"/>
                <w:szCs w:val="19"/>
              </w:rPr>
              <w:t xml:space="preserve">Four definitions of LAMA</w:t>
            </w:r>
          </w:p>
        </w:tc>
        <w:tc>
          <w:tcPr>
            <w:tcW w:type="dxa" w:w="6739"/>
            <w:shd w:fill="F7F7F7" w:val="clear"/>
            <w:tcMar>
              <w:top w:type="dxa" w:w="70"/>
              <w:left w:type="dxa" w:w="110"/>
              <w:bottom w:type="dxa" w:w="70"/>
              <w:right w:type="dxa" w:w="110"/>
            </w:tcMar>
          </w:tcPr>
          <w:p>
            <w:r>
              <w:rPr>
                <w:rFonts w:ascii="Calibri" w:cs="Calibri" w:eastAsia="Calibri" w:hAnsi="Calibri"/>
                <w:sz w:val="19"/>
                <w:szCs w:val="19"/>
              </w:rPr>
              <w:t xml:space="preserve">Contained, not resolved. See Emollient_Measure_Definitions.xlsx.</w:t>
            </w:r>
          </w:p>
        </w:tc>
      </w:tr>
      <w:tr>
        <w:tc>
          <w:tcPr>
            <w:tcW w:type="dxa" w:w="2621"/>
            <w:tcMar>
              <w:top w:type="dxa" w:w="70"/>
              <w:left w:type="dxa" w:w="110"/>
              <w:bottom w:type="dxa" w:w="70"/>
              <w:right w:type="dxa" w:w="110"/>
            </w:tcMar>
          </w:tcPr>
          <w:p>
            <w:r>
              <w:rPr>
                <w:rFonts w:ascii="Calibri" w:cs="Calibri" w:eastAsia="Calibri" w:hAnsi="Calibri"/>
                <w:sz w:val="19"/>
                <w:szCs w:val="19"/>
              </w:rPr>
              <w:t xml:space="preserve">SNMC unplanned-discharge rate</w:t>
            </w:r>
          </w:p>
        </w:tc>
        <w:tc>
          <w:tcPr>
            <w:tcW w:type="dxa" w:w="6739"/>
            <w:tcMar>
              <w:top w:type="dxa" w:w="70"/>
              <w:left w:type="dxa" w:w="110"/>
              <w:bottom w:type="dxa" w:w="70"/>
              <w:right w:type="dxa" w:w="110"/>
            </w:tcMar>
          </w:tcPr>
          <w:p>
            <w:r>
              <w:rPr>
                <w:rFonts w:ascii="Calibri" w:cs="Calibri" w:eastAsia="Calibri" w:hAnsi="Calibri"/>
                <w:sz w:val="19"/>
                <w:szCs w:val="19"/>
              </w:rPr>
              <w:t xml:space="preserve">On the data of 4 October 2026, SNMC showed 43.0% (34 of 79) against a study-wide 15.9% and Niloufer at 9.7%. Either something is genuinely different at SNMC or the site codes discharges differently. Worth asking before TSC does.</w:t>
            </w:r>
          </w:p>
        </w:tc>
      </w:tr>
      <w:tr>
        <w:tc>
          <w:tcPr>
            <w:tcW w:type="dxa" w:w="2621"/>
            <w:shd w:fill="F7F7F7" w:val="clear"/>
            <w:tcMar>
              <w:top w:type="dxa" w:w="70"/>
              <w:left w:type="dxa" w:w="110"/>
              <w:bottom w:type="dxa" w:w="70"/>
              <w:right w:type="dxa" w:w="110"/>
            </w:tcMar>
          </w:tcPr>
          <w:p>
            <w:r>
              <w:rPr>
                <w:rFonts w:ascii="Calibri" w:cs="Calibri" w:eastAsia="Calibri" w:hAnsi="Calibri"/>
                <w:sz w:val="19"/>
                <w:szCs w:val="19"/>
              </w:rPr>
              <w:t xml:space="preserve">Uneven SAE reporting</w:t>
            </w:r>
          </w:p>
        </w:tc>
        <w:tc>
          <w:tcPr>
            <w:tcW w:type="dxa" w:w="6739"/>
            <w:shd w:fill="F7F7F7" w:val="clear"/>
            <w:tcMar>
              <w:top w:type="dxa" w:w="70"/>
              <w:left w:type="dxa" w:w="110"/>
              <w:bottom w:type="dxa" w:w="70"/>
              <w:right w:type="dxa" w:w="110"/>
            </w:tcMar>
          </w:tcPr>
          <w:p>
            <w:r>
              <w:rPr>
                <w:rFonts w:ascii="Calibri" w:cs="Calibri" w:eastAsia="Calibri" w:hAnsi="Calibri"/>
                <w:sz w:val="19"/>
                <w:szCs w:val="19"/>
              </w:rPr>
              <w:t xml:space="preserve">JSS recorded 0 SAEs from 28 enrolled; RMLIMS 14 from 41. A site reporting no serious adverse events across 28 babies is usually an under-reporting signal.</w:t>
            </w:r>
          </w:p>
        </w:tc>
      </w:tr>
      <w:tr>
        <w:tc>
          <w:tcPr>
            <w:tcW w:type="dxa" w:w="2621"/>
            <w:tcMar>
              <w:top w:type="dxa" w:w="70"/>
              <w:left w:type="dxa" w:w="110"/>
              <w:bottom w:type="dxa" w:w="70"/>
              <w:right w:type="dxa" w:w="110"/>
            </w:tcMar>
          </w:tcPr>
          <w:p>
            <w:r>
              <w:rPr>
                <w:rFonts w:ascii="Calibri" w:cs="Calibri" w:eastAsia="Calibri" w:hAnsi="Calibri"/>
                <w:sz w:val="19"/>
                <w:szCs w:val="19"/>
              </w:rPr>
              <w:t xml:space="preserve">Monthly Dashboard arm split</w:t>
            </w:r>
          </w:p>
        </w:tc>
        <w:tc>
          <w:tcPr>
            <w:tcW w:type="dxa" w:w="6739"/>
            <w:tcMar>
              <w:top w:type="dxa" w:w="70"/>
              <w:left w:type="dxa" w:w="110"/>
              <w:bottom w:type="dxa" w:w="70"/>
              <w:right w:type="dxa" w:w="110"/>
            </w:tcMar>
          </w:tcPr>
          <w:p>
            <w:r>
              <w:rPr>
                <w:rFonts w:ascii="Calibri" w:cs="Calibri" w:eastAsia="Calibri" w:hAnsi="Calibri"/>
                <w:sz w:val="19"/>
                <w:szCs w:val="19"/>
              </w:rPr>
              <w:t xml:space="preserve">reports.php does not fetch enr_study_arm for MonthlyDashboard although its aggregator reads it, so the Intervention/Control columns are likely always zero. Separate from this report but found while building it.</w:t>
            </w:r>
          </w:p>
        </w:tc>
      </w:tr>
    </w:tbl>
    <w:p>
      <w:pPr>
        <w:spacing w:after="120" w:before="0"/>
      </w:pPr>
      <w:r>
        <w:rPr>
          <w:rFonts w:ascii="Calibri" w:cs="Calibri" w:eastAsia="Calibri" w:hAnsi="Calibri"/>
          <w:sz w:val="21"/>
          <w:szCs w:val="21"/>
        </w:rPr>
        <w:t xml:space="preserve"/>
      </w:r>
    </w:p>
    <w:p>
      <w:pPr>
        <w:spacing w:after="120" w:before="400"/>
        <w:jc w:val="center"/>
      </w:pPr>
      <w:r>
        <w:rPr>
          <w:rFonts w:ascii="Calibri" w:cs="Calibri" w:eastAsia="Calibri" w:hAnsi="Calibri"/>
          <w:color w:val="595959"/>
          <w:sz w:val="21"/>
          <w:szCs w:val="21"/>
        </w:rPr>
        <w:t xml:space="preserve">End of document</w:t>
      </w:r>
    </w:p>
    <w:sectPr>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40" w:before="320"/>
    </w:pPr>
    <w:rPr>
      <w:rFonts w:ascii="Calibri" w:cs="Calibri" w:eastAsia="Calibri" w:hAnsi="Calibri"/>
      <w:b/>
      <w:bCs/>
      <w:color w:val="1F3864"/>
      <w:sz w:val="30"/>
      <w:szCs w:val="30"/>
    </w:rPr>
  </w:style>
  <w:style w:type="paragraph" w:styleId="Heading2">
    <w:name w:val="Heading 2"/>
    <w:basedOn w:val="Normal"/>
    <w:next w:val="Normal"/>
    <w:qFormat/>
    <w:pPr>
      <w:spacing w:after="110" w:before="240"/>
    </w:pPr>
    <w:rPr>
      <w:rFonts w:ascii="Calibri" w:cs="Calibri" w:eastAsia="Calibri" w:hAnsi="Calibri"/>
      <w:b/>
      <w:bCs/>
      <w:color w:val="2E5496"/>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Monthly Site Summary — Report Documentation</dc:title>
  <dc:creator>CEL Central Data Team</dc:creator>
  <dc:description>Emollient project, CEL Reporting Platform</dc:description>
  <cp:lastModifiedBy>Un-named</cp:lastModifiedBy>
  <cp:revision>1</cp:revision>
  <dcterms:created xsi:type="dcterms:W3CDTF">2026-10-04T08:17:05.556Z</dcterms:created>
  <dcterms:modified xsi:type="dcterms:W3CDTF">2026-10-04T08:17:05.556Z</dcterms:modified>
</cp:coreProperties>
</file>

<file path=docProps/custom.xml><?xml version="1.0" encoding="utf-8"?>
<Properties xmlns="http://schemas.openxmlformats.org/officeDocument/2006/custom-properties" xmlns:vt="http://schemas.openxmlformats.org/officeDocument/2006/docPropsVTypes"/>
</file>