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480"/>
        <w:ind w:left="360" w:right="360"/>
        <w:jc w:val="center"/>
      </w:pPr>
      <w:r>
        <w:rPr>
          <w:rFonts w:ascii="Arial" w:cs="Arial" w:eastAsia="Arial" w:hAnsi="Arial"/>
          <w:b/>
          <w:bCs/>
          <w:color w:val="FFFFFF"/>
          <w:sz w:val="48"/>
          <w:szCs w:val="48"/>
        </w:rPr>
        <w:t xml:space="preserve">Emolliation Consumption Estimator</w:t>
      </w:r>
    </w:p>
    <w:p>
      <w:pPr>
        <w:shd w:fill="2E75B6" w:val="clear"/>
        <w:spacing w:after="120" w:before="0"/>
        <w:ind w:left="360" w:right="360"/>
        <w:jc w:val="center"/>
      </w:pPr>
      <w:r>
        <w:rPr>
          <w:color w:val="FFFFFF"/>
          <w:sz w:val="26"/>
          <w:szCs w:val="26"/>
        </w:rPr>
        <w:t xml:space="preserve">Dynamic Weight Model — VLBW Neonatal Emolliation Study</w:t>
      </w:r>
    </w:p>
    <w:p>
      <w:pPr>
        <w:shd w:fill="2E5090" w:val="clear"/>
        <w:spacing w:after="360" w:before="0"/>
        <w:ind w:left="360" w:right="360"/>
        <w:jc w:val="center"/>
      </w:pPr>
      <w:r>
        <w:rPr>
          <w:i/>
          <w:iCs/>
          <w:color w:val="FFFFFF"/>
          <w:sz w:val="22"/>
          <w:szCs w:val="22"/>
        </w:rPr>
        <w:t xml:space="preserve">Revised Edition: Daily Weight-Dependent Oil Consumption</w:t>
      </w:r>
    </w:p>
    <w:p/>
    <w:p>
      <w:pPr>
        <w:pBdr>
          <w:left w:val="single" w:color="2E75B6" w:sz="8" w:space="4"/>
        </w:pBdr>
        <w:shd w:fill="DEEAF1" w:val="clear"/>
        <w:spacing w:after="80" w:before="80"/>
        <w:ind w:left="360" w:right="360"/>
      </w:pPr>
      <w:r>
        <w:rPr>
          <w:b/>
          <w:bCs/>
          <w:color w:val="1F4E79"/>
        </w:rPr>
        <w:t xml:space="preserve">Key revision from previous edition: </w:t>
      </w:r>
      <w:r>
        <w:t xml:space="preserve">Baby weight is </w:t>
      </w:r>
      <w:r>
        <w:rPr>
          <w:b/>
          <w:bCs/>
        </w:rPr>
        <w:t xml:space="preserve">not fixed</w:t>
      </w:r>
      <w:r>
        <w:t xml:space="preserve"> — it changes daily. Emolliation dose is weight-based (ml/kg). Using a single average weight W̄ systematically underestimates consumption in later days (when the baby is heavier) and overestimates early days. This revised model introduces </w:t>
      </w:r>
      <w:r>
        <w:rPr>
          <w:b/>
          <w:bCs/>
        </w:rPr>
        <w:t xml:space="preserve">V_s(d)</w:t>
      </w:r>
      <w:r>
        <w:t xml:space="preserve"> — a daily variable oil-per-session — derived from a linear growth model W(d) = W₀ + g × d. All oil and bottle formulas are updated accordingly.</w:t>
      </w:r>
    </w:p>
    <w:p/>
    <w:p>
      <w:r>
        <w:rPr>
          <w:b/>
          <w:bCs/>
          <w:color w:val="1F4E79"/>
        </w:rPr>
        <w:t xml:space="preserve">Protocol parameters: </w:t>
      </w:r>
      <w:r>
        <w:t xml:space="preserve">3 applications per day · 28-day target · 100 ml per bottle · dose per kg per session fixed by protocol</w:t>
      </w:r>
    </w:p>
    <w:p/>
    <w:p>
      <w:r>
        <w:br w:type="page"/>
      </w:r>
    </w:p>
    <w:p>
      <w:pPr>
        <w:pStyle w:val="Heading1"/>
      </w:pPr>
      <w:r>
        <w:t xml:space="preserve">1. Conceptual Model</w:t>
      </w:r>
    </w:p>
    <w:p>
      <w:r>
        <w:t xml:space="preserve">Every enrolled baby has a fixed emolliation schedule of </w:t>
      </w:r>
      <w:r>
        <w:rPr>
          <w:b/>
          <w:bCs/>
        </w:rPr>
        <w:t xml:space="preserve">3 sessions/day for up to 28 days</w:t>
      </w:r>
      <w:r>
        <w:t xml:space="preserve">. In the original model, oil per session was fixed at V_s = (W̄ ÷ 1000) × dose. However, because VLBW babies grow </w:t>
      </w:r>
      <w:r>
        <w:rPr>
          <w:b/>
          <w:bCs/>
        </w:rPr>
        <w:t xml:space="preserve">15–20 g/day</w:t>
      </w:r>
      <w:r>
        <w:t xml:space="preserve">, a baby weighing 1,100 g at birth weighs approximately 1,400 g by discharge at day 21. The </w:t>
      </w:r>
      <w:r>
        <w:rPr>
          <w:b/>
          <w:bCs/>
        </w:rPr>
        <w:t xml:space="preserve">last week of hospital stay</w:t>
      </w:r>
      <w:r>
        <w:t xml:space="preserve"> requires ~27% more oil per session than day 0.</w:t>
      </w:r>
    </w:p>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Key insight:  a 1,100 g baby gaining 15 g/day for 21 days gains 315 g</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V_s on Day 0  = (1,100 ÷ 1000) × 4  = 4.4 ml per session</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V_s on Day 20 = (1,415 ÷ 1000) × 4  = 5.7 ml per session  (+27%)</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Using fixed W̄ gives a single mid-point estimate — not the true total</w:t>
      </w:r>
    </w:p>
    <w:p/>
    <w:p>
      <w:r>
        <w:t xml:space="preserve">The revised model replaces the single V_s with </w:t>
      </w:r>
      <w:r>
        <w:rPr>
          <w:b/>
          <w:bCs/>
        </w:rPr>
        <w:t xml:space="preserve">V_s(d)</w:t>
      </w:r>
      <w:r>
        <w:t xml:space="preserve"> and replaces simple multiplication with a </w:t>
      </w:r>
      <w:r>
        <w:rPr>
          <w:b/>
          <w:bCs/>
        </w:rPr>
        <w:t xml:space="preserve">summation across days</w:t>
      </w:r>
      <w:r>
        <w:t xml:space="preserve">, simplified using the arithmetic mean of daily weights (the W̄_stay approach).</w:t>
      </w:r>
    </w:p>
    <w:p/>
    <w:p>
      <w:pPr>
        <w:pStyle w:val="Heading1"/>
      </w:pPr>
      <w:r>
        <w:t xml:space="preserve">2. Variables and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3100"/>
        <w:gridCol w:w="2360"/>
      </w:tblGrid>
      <w:tr>
        <w:trPr>
          <w:tblHeader/>
        </w:trPr>
        <w:tc>
          <w:tcPr>
            <w:tcW w:type="dxa" w:w="1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b/>
                <w:bCs/>
                <w:color w:val="FFFFFF"/>
              </w:rPr>
              <w:t xml:space="preserve">Symbol</w:t>
            </w:r>
          </w:p>
        </w:tc>
        <w:tc>
          <w:tcPr>
            <w:tcW w:type="dxa" w:w="2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b/>
                <w:bCs/>
                <w:color w:val="FFFFFF"/>
              </w:rPr>
              <w:t xml:space="preserve">Meaning</w:t>
            </w:r>
          </w:p>
        </w:tc>
        <w:tc>
          <w:tcPr>
            <w:tcW w:type="dxa" w:w="31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b/>
                <w:bCs/>
                <w:color w:val="FFFFFF"/>
              </w:rPr>
              <w:t xml:space="preserve">Description</w:t>
            </w:r>
          </w:p>
        </w:tc>
        <w:tc>
          <w:tcPr>
            <w:tcW w:type="dxa" w:w="2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b/>
                <w:bCs/>
                <w:color w:val="FFFFFF"/>
              </w:rPr>
              <w:t xml:space="preserve">Value / Unit</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rPr>
              <w:t xml:space="preserve">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Total enrolled babies</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Babies recruited</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Count</w:t>
            </w:r>
          </w:p>
        </w:tc>
      </w:tr>
      <w:tr>
        <w:trPr>
          <w:tblHeader w:val="false"/>
        </w:trP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rPr>
              <w:t xml:space="preserve">D</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Total discharged babies</w:t>
            </w:r>
          </w:p>
        </w:tc>
        <w:tc>
          <w:tcPr>
            <w:tcW w:type="dxa" w:w="3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Babies who left hospital</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Count</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rPr>
              <w:t xml:space="preserve">L̄</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Avg hospital stay (days)</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Mean days admission → discharge</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Days</w:t>
            </w:r>
          </w:p>
        </w:tc>
      </w:tr>
      <w:tr>
        <w:trPr>
          <w:tblHeader w:val="false"/>
        </w:trP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rPr>
              <w:t xml:space="preserve">W₀</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Birth weight (grams)</w:t>
            </w:r>
          </w:p>
        </w:tc>
        <w:tc>
          <w:tcPr>
            <w:tcW w:type="dxa" w:w="3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Weight at enrolment / Day 0</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Grams</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rPr>
              <w:t xml:space="preserve">W_d</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Discharge weight (grams)</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Weight on day of discharge</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Grams</w:t>
            </w:r>
          </w:p>
        </w:tc>
      </w:tr>
      <w:tr>
        <w:trPr>
          <w:tblHeader w:val="false"/>
        </w:trP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rPr>
              <w:t xml:space="preserve">g</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Daily weight gain (g/day)</w:t>
            </w:r>
          </w:p>
        </w:tc>
        <w:tc>
          <w:tcPr>
            <w:tcW w:type="dxa" w:w="3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Linear growth rate during stay</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~15–20 g/day</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rPr>
              <w:t xml:space="preserve">g_h</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Home weight gain (g/day)</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Growth rate after discharge</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~15–20 g/day</w:t>
            </w:r>
          </w:p>
        </w:tc>
      </w:tr>
      <w:tr>
        <w:trPr>
          <w:tblHeader w:val="false"/>
        </w:trP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rPr>
              <w:t xml:space="preserve">W(d)</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Weight on study day d</w:t>
            </w:r>
          </w:p>
        </w:tc>
        <w:tc>
          <w:tcPr>
            <w:tcW w:type="dxa" w:w="3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W₀ + g × d  (linear model)</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Grams</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rPr>
              <w:t xml:space="preserve">W̄_stay</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Avg weight during hospital stay</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W₀ + g × (L−1) / 2</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Grams</w:t>
            </w:r>
          </w:p>
        </w:tc>
      </w:tr>
      <w:tr>
        <w:trPr>
          <w:tblHeader w:val="false"/>
        </w:trP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rPr>
              <w:t xml:space="preserve">W̄_home</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Avg weight during home phase</w:t>
            </w:r>
          </w:p>
        </w:tc>
        <w:tc>
          <w:tcPr>
            <w:tcW w:type="dxa" w:w="3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W_d + g_h × (R̄−1) / 2</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Grams</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rPr>
              <w:t xml:space="preserve">V_s(d)</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Oil per session on day d</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(W(d) ÷ 1000) × dose_per_kg</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ml</w:t>
            </w:r>
          </w:p>
        </w:tc>
      </w:tr>
      <w:tr>
        <w:trPr>
          <w:tblHeader w:val="false"/>
        </w:trP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rPr>
              <w:t xml:space="preserve">dose</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Dose per kg per session</w:t>
            </w:r>
          </w:p>
        </w:tc>
        <w:tc>
          <w:tcPr>
            <w:tcW w:type="dxa" w:w="3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Protocol value</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4–5 ml/kg</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rPr>
              <w:t xml:space="preserve">f</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Sessions per day</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Fixed: 3</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3</w:t>
            </w:r>
          </w:p>
        </w:tc>
      </w:tr>
      <w:tr>
        <w:trPr>
          <w:tblHeader w:val="false"/>
        </w:trP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rPr>
              <w:t xml:space="preserve">T</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Total target days</w:t>
            </w:r>
          </w:p>
        </w:tc>
        <w:tc>
          <w:tcPr>
            <w:tcW w:type="dxa" w:w="3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28 days from birth</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28</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rPr>
              <w:t xml:space="preserve">B</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Bottle size</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Fixed volume</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100 ml</w:t>
            </w:r>
          </w:p>
        </w:tc>
      </w:tr>
      <w:tr>
        <w:trPr>
          <w:tblHeader w:val="false"/>
        </w:trP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rPr>
              <w:t xml:space="preserve">R̄</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Avg remaining days</w:t>
            </w:r>
          </w:p>
        </w:tc>
        <w:tc>
          <w:tcPr>
            <w:tcW w:type="dxa" w:w="3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T − L̄</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Days</w:t>
            </w:r>
          </w:p>
        </w:tc>
      </w:tr>
    </w:tbl>
    <w:p/>
    <w:p>
      <w:pPr>
        <w:pStyle w:val="Heading1"/>
      </w:pPr>
      <w:r>
        <w:t xml:space="preserve">3. Growth Model — Daily Weight W(d)</w:t>
      </w:r>
    </w:p>
    <w:p>
      <w:pPr>
        <w:pStyle w:val="Heading2"/>
      </w:pPr>
      <w:r>
        <w:t xml:space="preserve">Linear growth assumption</w:t>
      </w:r>
    </w:p>
    <w:p>
      <w:r>
        <w:t xml:space="preserve">VLBW babies in a neonatal unit typically gain weight </w:t>
      </w:r>
      <w:r>
        <w:rPr>
          <w:b/>
          <w:bCs/>
        </w:rPr>
        <w:t xml:space="preserve">linearly</w:t>
      </w:r>
      <w:r>
        <w:t xml:space="preserve"> once past the initial post-natal weight loss (usually days 0–3). The standard approximation used in neonatal nutrition research is:</w:t>
      </w:r>
    </w:p>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W(d)  =  W₀  +  g × d</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Where:</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W₀ = birth weight (grams)</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g  = daily weight gain (grams/day)  —  typically 15–20 g/day for VLBW</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d  = study day (0 = day of birth / enrolment)</w:t>
      </w:r>
    </w:p>
    <w:p/>
    <w:p>
      <w:r>
        <w:rPr>
          <w:b/>
          <w:bCs/>
        </w:rPr>
        <w:t xml:space="preserve">Explanation: </w:t>
      </w:r>
      <w:r>
        <w:t xml:space="preserve">This is the simplest defensible growth model for a population estimator. It does not account for the initial weight dip (days 0–3) or non-linear catch-up growth, but those refinements add complexity without meaningfully changing the compliance estimate at cohort level.</w:t>
      </w:r>
    </w:p>
    <w:p/>
    <w:p>
      <w:pPr>
        <w:pStyle w:val="Heading2"/>
      </w:pPr>
      <w:r>
        <w:t xml:space="preserve">Estimating g from available data</w:t>
      </w:r>
    </w:p>
    <w:p>
      <w:r>
        <w:t xml:space="preserve">If you have individual discharge weights in REDCap, the cohort average daily gain is:</w:t>
      </w:r>
    </w:p>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g  =  (W_d  −  W₀)  ÷  L̄     (grams/day)</w:t>
      </w:r>
    </w:p>
    <w:p/>
    <w:p>
      <w:r>
        <w:t xml:space="preserve">If discharge weight is not recorded, use </w:t>
      </w:r>
      <w:r>
        <w:rPr>
          <w:b/>
          <w:bCs/>
        </w:rPr>
        <w:t xml:space="preserve">g = 15 g/day</w:t>
      </w:r>
      <w:r>
        <w:t xml:space="preserve"> as the standard VLBW conservative estimate (WHO/Cochrane recommendation). For preterm infants with gestational age &lt; 28 weeks, g = 18–20 g/day is more typical.</w:t>
      </w:r>
    </w:p>
    <w:p/>
    <w:p>
      <w:pPr>
        <w:pStyle w:val="Heading2"/>
      </w:pPr>
      <w:r>
        <w:t xml:space="preserve">Average weight during hospital stay (W̄_stay)</w:t>
      </w:r>
    </w:p>
    <w:p>
      <w:r>
        <w:t xml:space="preserve">Because weight increases linearly, the average weight over the hospital stay equals the weight at the midpoint of the stay:</w:t>
      </w:r>
    </w:p>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W̄_stay  =  W₀  +  g × (L̄ − 1) ÷ 2</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Derivation:</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Σ W(d) for d=0 to L−1  =  L×W₀ + g × L(L−1)/2</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Divide by L → W₀ + g(L−1)/2  =  W̄_stay</w:t>
      </w:r>
    </w:p>
    <w:p/>
    <w:p>
      <w:r>
        <w:rPr>
          <w:b/>
          <w:bCs/>
        </w:rPr>
        <w:t xml:space="preserve">Explanation: </w:t>
      </w:r>
      <w:r>
        <w:t xml:space="preserve">The sum of an arithmetic progression is the number of terms multiplied by the average of the first and last terms. Here, first term = W₀, last term = W₀ + g(L−1). Average = W₀ + g(L−1)/2. This single number replaces the need to sum each day individually when individual daily weights are unavailable.</w:t>
      </w:r>
    </w:p>
    <w:p/>
    <w:p>
      <w:pPr>
        <w:pStyle w:val="Heading2"/>
      </w:pPr>
      <w:r>
        <w:t xml:space="preserve">Average weight during home phase (W̄_home)</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W_d      =  W₀  +  g × L̄                     (discharge weight)</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W̄_home  =  W_d  +  g_h × (R̄ − 1) ÷ 2       (avg weight at home)</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Where g_h = daily weight gain at home (typically same as hospital, 15–20 g/day)</w:t>
      </w:r>
    </w:p>
    <w:p/>
    <w:p>
      <w:r>
        <w:rPr>
          <w:b/>
          <w:bCs/>
        </w:rPr>
        <w:t xml:space="preserve">Explanation: </w:t>
      </w:r>
      <w:r>
        <w:t xml:space="preserve">After discharge, the baby's starting weight is W_d (their weight on the day of discharge). At home they continue to grow at rate g_h. The average weight during the home phase is therefore the midpoint of the home stay weight trajectory, computed the same way as W̄_stay.</w:t>
      </w:r>
    </w:p>
    <w:p/>
    <w:p>
      <w:pPr>
        <w:pStyle w:val="Heading1"/>
      </w:pPr>
      <w:r>
        <w:t xml:space="preserve">4. Revised Core Formulas</w:t>
      </w:r>
    </w:p>
    <w:p>
      <w:pPr>
        <w:pStyle w:val="Heading2"/>
      </w:pPr>
      <w:r>
        <w:t xml:space="preserve">Formula 4.1 — Daily oil per session V_s(d)</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V_s(d)  =  (W(d) ÷ 1000)  ×  dose</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  ((W₀ + g × d) ÷ 1000)  ×  dose</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Example: W₀=1,100 g, g=15 g/day, dose=4 ml/kg</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Day  0: V_s(0) = (1,100 ÷ 1000) × 4 = 4.40 ml</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Day 10: V_s(10)= (1,250 ÷ 1000) × 4 = 5.00 ml</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Day 20: V_s(20)= (1,400 ÷ 1000) × 4 = 5.60 ml</w:t>
      </w:r>
    </w:p>
    <w:p/>
    <w:p>
      <w:r>
        <w:rPr>
          <w:b/>
          <w:bCs/>
        </w:rPr>
        <w:t xml:space="preserve">Explanation: </w:t>
      </w:r>
      <w:r>
        <w:t xml:space="preserve">V_s is no longer a constant — it increases each day as the baby gains weight. The oil dose is proportional to weight, so a heavier baby requires more oil per session. Using a fixed V_s at birth weight understates later-day consumption; the formula must be evaluated daily (or approximated by W̄_stay, see Formula 4.2).</w:t>
      </w:r>
    </w:p>
    <w:p/>
    <w:p>
      <w:pPr>
        <w:pStyle w:val="Heading2"/>
      </w:pPr>
      <w:r>
        <w:t xml:space="preserve">Formula 4.2 — Hospital oil (exact summation &amp; simplified form)</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Exact:    Oil_hospital  =  f × dose ÷ 1000 × Σ(d=0 to L−1) W(d)</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  f × dose ÷ 1000 × [L × W₀  +  g × L(L−1) ÷ 2]</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Simplified:  Oil_hospital  =  L̄  ×  f  ×  V_s_stay</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where  V_s_stay  =  W̄_stay ÷ 1000 × dose</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and    W̄_stay   =  W₀ + g × (L̄ − 1) ÷ 2</w:t>
      </w:r>
    </w:p>
    <w:p/>
    <w:p>
      <w:r>
        <w:rPr>
          <w:b/>
          <w:bCs/>
        </w:rPr>
        <w:t xml:space="preserve">Explanation: </w:t>
      </w:r>
      <w:r>
        <w:t xml:space="preserve">The exact form sums daily oil across each hospital day. The simplified form recognises that for a linear growth model, the average daily oil equals the oil calculated at the average weight during the stay (W̄_stay). These two forms give identical results — the simplified form is easier to compute by hand or in a spreadsheet.</w:t>
      </w:r>
    </w:p>
    <w:p/>
    <w:p>
      <w:pPr>
        <w:pStyle w:val="Heading2"/>
      </w:pPr>
      <w:r>
        <w:t xml:space="preserve">Formula 4.3 — Home-phase oil</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Oil_home  =  R̄  ×  f  ×  V_s_home</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where  V_s_home  =  W̄_home ÷ 1000 × dose</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and    W̄_home   =  W_d + g_h × (R̄ − 1) ÷ 2</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and    W_d       =  W₀ + g × L̄</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and    R̄         =  T − L̄</w:t>
      </w:r>
    </w:p>
    <w:p/>
    <w:p>
      <w:r>
        <w:rPr>
          <w:b/>
          <w:bCs/>
        </w:rPr>
        <w:t xml:space="preserve">Explanation: </w:t>
      </w:r>
      <w:r>
        <w:t xml:space="preserve">The home phase uses the same approach: average weight during the home period determines average oil per session. The home phase baseline weight is the </w:t>
      </w:r>
      <w:r>
        <w:rPr>
          <w:b/>
          <w:bCs/>
        </w:rPr>
        <w:t xml:space="preserve">discharge weight W_d</w:t>
      </w:r>
      <w:r>
        <w:t xml:space="preserve">, not the birth weight. Because the baby is heavier at discharge than at birth, home-phase oil per session is higher than early hospital sessions.</w:t>
      </w:r>
    </w:p>
    <w:p/>
    <w:p>
      <w:pPr>
        <w:pStyle w:val="Heading2"/>
      </w:pPr>
      <w:r>
        <w:t xml:space="preserve">Formula 4.4 — Total oil and bottles per baby</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Oil_total         =  Oil_hospital  +  Oil_home</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Bottles_hospital  =  ceil( Oil_hospital ÷ B )</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Bottles_home      =  ceil( Oil_home     ÷ B )</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Bottles_total     =  Bottles_hospital + Bottles_home</w:t>
      </w:r>
    </w:p>
    <w:p/>
    <w:p>
      <w:r>
        <w:rPr>
          <w:b/>
          <w:bCs/>
        </w:rPr>
        <w:t xml:space="preserve">Explanation: </w:t>
      </w:r>
      <w:r>
        <w:t xml:space="preserve">ceil() rounds up because a partially used bottle at discharge is physically sent home with the caregiver. Rounding is applied </w:t>
      </w:r>
      <w:r>
        <w:rPr>
          <w:b/>
          <w:bCs/>
        </w:rPr>
        <w:t xml:space="preserve">separately</w:t>
      </w:r>
      <w:r>
        <w:t xml:space="preserve"> to hospital and home portions, not to their sum, because bottles are dispensed at two distinct points.</w:t>
      </w:r>
    </w:p>
    <w:p/>
    <w:p>
      <w:pPr>
        <w:pStyle w:val="Heading2"/>
      </w:pPr>
      <w:r>
        <w:t xml:space="preserve">Formula 4.5 — Cohort expected bottle usage</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Expected_bottles_total  =  N  ×  Bottles_total</w:t>
      </w:r>
    </w:p>
    <w:p/>
    <w:p>
      <w:r>
        <w:rPr>
          <w:b/>
          <w:bCs/>
        </w:rPr>
        <w:t xml:space="preserve">Explanation: </w:t>
      </w:r>
      <w:r>
        <w:t xml:space="preserve">Scaled to cohort size N. If individual discharge weights are available in REDCap, use the individual-level formula (Formula 4.6) for a more accurate benchmark.</w:t>
      </w:r>
    </w:p>
    <w:p/>
    <w:p>
      <w:pPr>
        <w:pStyle w:val="Heading2"/>
      </w:pPr>
      <w:r>
        <w:t xml:space="preserve">Formula 4.6 — Individual-level (when per-baby data available)</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For each baby i:</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W̄_stay_i  =  W₀ᵢ  +  gᵢ × (Lᵢ − 1) ÷ 2</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Oil_hosp_i = Lᵢ × f × (W̄_stay_i ÷ 1000) × dose</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W_d_i      = W₀ᵢ + gᵢ × Lᵢ</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W̄_home_i  = W_d_i + g_h × (R_i − 1) ÷ 2</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Oil_home_i = R_i × f × (W̄_home_i ÷ 1000) × dose</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Bottles_i  = ceil(Oil_hosp_i ÷ B) + ceil(Oil_home_i ÷ B)</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Expected_total = Σᵢ Bottles_i</w:t>
      </w:r>
    </w:p>
    <w:p/>
    <w:p>
      <w:pPr>
        <w:pStyle w:val="Heading1"/>
      </w:pPr>
      <w:r>
        <w:t xml:space="preserve">5. Compliance Estimation</w:t>
      </w:r>
    </w:p>
    <w:p>
      <w:pPr>
        <w:pStyle w:val="Heading2"/>
      </w:pPr>
      <w:r>
        <w:t xml:space="preserve">Formula 5.1 — Compliance ratio</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Compliance_%  =  Actual_bottles ÷ Expected_bottles × 100</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Note: Expected_bottles now uses the dynamic model.</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The dynamic expected figure is HIGHER than the fixed-weight figure,</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so compliance % will be LOWER for the same actual bottle count.</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This is more realistic — the dynamic model is the correct benchmark.</w:t>
      </w:r>
    </w:p>
    <w:p/>
    <w:p>
      <w:pPr>
        <w:pStyle w:val="Heading2"/>
      </w:pPr>
      <w:r>
        <w:t xml:space="preserve">Formula 5.2 — Missed sessions</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V_s_avg       =  (Oil_hospital + Oil_home) ÷ (Sessions_hospital + Sessions_home)</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Missed_ml     =  max(0, Expected_bottles − Actual_bottles) × B</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Missed_sessions = Missed_ml ÷ V_s_avg</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Missed_%      =  Missed_sessions ÷ Total_expected_sessions × 100</w:t>
      </w:r>
    </w:p>
    <w:p/>
    <w:p>
      <w:r>
        <w:rPr>
          <w:b/>
          <w:bCs/>
        </w:rPr>
        <w:t xml:space="preserve">Explanation: </w:t>
      </w:r>
      <w:r>
        <w:t xml:space="preserve">The missed-session calculation now uses </w:t>
      </w:r>
      <w:r>
        <w:rPr>
          <w:b/>
          <w:bCs/>
        </w:rPr>
        <w:t xml:space="preserve">V_s_avg</w:t>
      </w:r>
      <w:r>
        <w:t xml:space="preserve"> — the average oil per session across the entire study period (accounting for weight growth) — rather than a fixed V_s. This correctly reflects that missed sessions from different days have different oil equivalents.</w:t>
      </w:r>
    </w:p>
    <w:p/>
    <w:p>
      <w:pPr>
        <w:pStyle w:val="Heading2"/>
      </w:pPr>
      <w:r>
        <w:t xml:space="preserve">Compliance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460"/>
        <w:gridCol w:w="210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b/>
                <w:bCs/>
                <w:color w:val="FFFFFF"/>
              </w:rPr>
              <w:t xml:space="preserve">Compliance %</w:t>
            </w:r>
          </w:p>
        </w:tc>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b/>
                <w:bCs/>
                <w:color w:val="FFFFFF"/>
              </w:rPr>
              <w:t xml:space="preserve">Status</w:t>
            </w:r>
          </w:p>
        </w:tc>
        <w:tc>
          <w:tcPr>
            <w:tcW w:type="dxa" w:w="34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b/>
                <w:bCs/>
                <w:color w:val="FFFFFF"/>
              </w:rPr>
              <w:t xml:space="preserve">Interpretation</w:t>
            </w:r>
          </w:p>
        </w:tc>
        <w:tc>
          <w:tcPr>
            <w:tcW w:type="dxa" w:w="21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b/>
                <w:bCs/>
                <w:color w:val="FFFFFF"/>
              </w:rPr>
              <w:t xml:space="preserve">Action</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rPr>
              <w:t xml:space="preserve">95–110%</w:t>
            </w:r>
          </w:p>
        </w:tc>
        <w:tc>
          <w:tcPr>
            <w:tcW w:type="dxa" w:w="20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b/>
                <w:bCs/>
              </w:rPr>
              <w:t xml:space="preserve">✅ Optimal</w:t>
            </w:r>
          </w:p>
        </w:tc>
        <w:tc>
          <w:tcPr>
            <w:tcW w:type="dxa" w:w="3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Full adherence to protocol</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Routine monitoring</w:t>
            </w:r>
          </w:p>
        </w:tc>
      </w:tr>
      <w:tr>
        <w:trPr>
          <w:tblHeader w:val="false"/>
        </w:trP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rPr>
              <w:t xml:space="preserve">85–94%</w:t>
            </w:r>
          </w:p>
        </w:tc>
        <w:tc>
          <w:tcPr>
            <w:tcW w:type="dxa" w:w="2000"/>
            <w:tcBorders>
              <w:top w:val="single" w:color="BBBBBB" w:sz="1"/>
              <w:left w:val="single" w:color="BBBBBB" w:sz="1"/>
              <w:bottom w:val="single" w:color="BBBBBB" w:sz="1"/>
              <w:right w:val="single" w:color="BBBBBB" w:sz="1"/>
            </w:tcBorders>
            <w:shd w:fill="FFEB9C" w:val="clear"/>
            <w:tcMar>
              <w:top w:type="dxa" w:w="80"/>
              <w:left w:type="dxa" w:w="120"/>
              <w:bottom w:type="dxa" w:w="80"/>
              <w:right w:type="dxa" w:w="120"/>
            </w:tcMar>
          </w:tcPr>
          <w:p>
            <w:r>
              <w:rPr>
                <w:b/>
                <w:bCs/>
              </w:rPr>
              <w:t xml:space="preserve">🟡 Acceptable</w:t>
            </w:r>
          </w:p>
        </w:tc>
        <w:tc>
          <w:tcPr>
            <w:tcW w:type="dxa" w:w="3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Minor shortfall, within tolerance</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Mild reminder</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rPr>
              <w:t xml:space="preserve">70–84%</w:t>
            </w:r>
          </w:p>
        </w:tc>
        <w:tc>
          <w:tcPr>
            <w:tcW w:type="dxa" w:w="2000"/>
            <w:tcBorders>
              <w:top w:val="single" w:color="BBBBBB" w:sz="1"/>
              <w:left w:val="single" w:color="BBBBBB" w:sz="1"/>
              <w:bottom w:val="single" w:color="BBBBBB" w:sz="1"/>
              <w:right w:val="single" w:color="BBBBBB" w:sz="1"/>
            </w:tcBorders>
            <w:shd w:fill="FFD966" w:val="clear"/>
            <w:tcMar>
              <w:top w:type="dxa" w:w="80"/>
              <w:left w:type="dxa" w:w="120"/>
              <w:bottom w:type="dxa" w:w="80"/>
              <w:right w:type="dxa" w:w="120"/>
            </w:tcMar>
          </w:tcPr>
          <w:p>
            <w:r>
              <w:rPr>
                <w:b/>
                <w:bCs/>
              </w:rPr>
              <w:t xml:space="preserve">🟠 Concerning</w:t>
            </w:r>
          </w:p>
        </w:tc>
        <w:tc>
          <w:tcPr>
            <w:tcW w:type="dxa" w:w="3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Meaningful gap</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Targeted review</w:t>
            </w:r>
          </w:p>
        </w:tc>
      </w:tr>
      <w:tr>
        <w:trPr>
          <w:tblHeader w:val="false"/>
        </w:trP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rPr>
              <w:t xml:space="preserve">50–69%</w:t>
            </w:r>
          </w:p>
        </w:tc>
        <w:tc>
          <w:tcPr>
            <w:tcW w:type="dxa" w:w="2000"/>
            <w:tcBorders>
              <w:top w:val="single" w:color="BBBBBB" w:sz="1"/>
              <w:left w:val="single" w:color="BBBBBB" w:sz="1"/>
              <w:bottom w:val="single" w:color="BBBBBB" w:sz="1"/>
              <w:right w:val="single" w:color="BBBBBB" w:sz="1"/>
            </w:tcBorders>
            <w:shd w:fill="FF7675" w:val="clear"/>
            <w:tcMar>
              <w:top w:type="dxa" w:w="80"/>
              <w:left w:type="dxa" w:w="120"/>
              <w:bottom w:type="dxa" w:w="80"/>
              <w:right w:type="dxa" w:w="120"/>
            </w:tcMar>
          </w:tcPr>
          <w:p>
            <w:r>
              <w:rPr>
                <w:b/>
                <w:bCs/>
              </w:rPr>
              <w:t xml:space="preserve">🔴 Poor</w:t>
            </w:r>
          </w:p>
        </w:tc>
        <w:tc>
          <w:tcPr>
            <w:tcW w:type="dxa" w:w="3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Significant missed sessions</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Urgent site visit</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rPr>
              <w:t xml:space="preserve">&lt; 50%</w:t>
            </w:r>
          </w:p>
        </w:tc>
        <w:tc>
          <w:tcPr>
            <w:tcW w:type="dxa" w:w="2000"/>
            <w:tcBorders>
              <w:top w:val="single" w:color="BBBBBB" w:sz="1"/>
              <w:left w:val="single" w:color="BBBBBB" w:sz="1"/>
              <w:bottom w:val="single" w:color="BBBBBB" w:sz="1"/>
              <w:right w:val="single" w:color="BBBBBB" w:sz="1"/>
            </w:tcBorders>
            <w:shd w:fill="FFCCCC" w:val="clear"/>
            <w:tcMar>
              <w:top w:type="dxa" w:w="80"/>
              <w:left w:type="dxa" w:w="120"/>
              <w:bottom w:type="dxa" w:w="80"/>
              <w:right w:type="dxa" w:w="120"/>
            </w:tcMar>
          </w:tcPr>
          <w:p>
            <w:r>
              <w:rPr>
                <w:b/>
                <w:bCs/>
              </w:rPr>
              <w:t xml:space="preserve">🚨 Critical</w:t>
            </w:r>
          </w:p>
        </w:tc>
        <w:tc>
          <w:tcPr>
            <w:tcW w:type="dxa" w:w="3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Likely protocol deviation</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Formal investigation</w:t>
            </w:r>
          </w:p>
        </w:tc>
      </w:tr>
      <w:tr>
        <w:trPr>
          <w:tblHeader w:val="false"/>
        </w:trP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rPr>
              <w:t xml:space="preserve">&gt; 110%</w:t>
            </w:r>
          </w:p>
        </w:tc>
        <w:tc>
          <w:tcPr>
            <w:tcW w:type="dxa" w:w="2000"/>
            <w:tcBorders>
              <w:top w:val="single" w:color="BBBBBB" w:sz="1"/>
              <w:left w:val="single" w:color="BBBBBB" w:sz="1"/>
              <w:bottom w:val="single" w:color="BBBBBB" w:sz="1"/>
              <w:right w:val="single" w:color="BBBBBB" w:sz="1"/>
            </w:tcBorders>
            <w:shd w:fill="FFD166" w:val="clear"/>
            <w:tcMar>
              <w:top w:type="dxa" w:w="80"/>
              <w:left w:type="dxa" w:w="120"/>
              <w:bottom w:type="dxa" w:w="80"/>
              <w:right w:type="dxa" w:w="120"/>
            </w:tcMar>
          </w:tcPr>
          <w:p>
            <w:r>
              <w:rPr>
                <w:b/>
                <w:bCs/>
              </w:rPr>
              <w:t xml:space="preserve">⚠️ Over-use</w:t>
            </w:r>
          </w:p>
        </w:tc>
        <w:tc>
          <w:tcPr>
            <w:tcW w:type="dxa" w:w="3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Wastage or tracking issue</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Audit records</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rPr>
              <w:t xml:space="preserve">&gt; 130%</w:t>
            </w:r>
          </w:p>
        </w:tc>
        <w:tc>
          <w:tcPr>
            <w:tcW w:type="dxa" w:w="2000"/>
            <w:tcBorders>
              <w:top w:val="single" w:color="BBBBBB" w:sz="1"/>
              <w:left w:val="single" w:color="BBBBBB" w:sz="1"/>
              <w:bottom w:val="single" w:color="BBBBBB" w:sz="1"/>
              <w:right w:val="single" w:color="BBBBBB" w:sz="1"/>
            </w:tcBorders>
            <w:shd w:fill="FFCCCC" w:val="clear"/>
            <w:tcMar>
              <w:top w:type="dxa" w:w="80"/>
              <w:left w:type="dxa" w:w="120"/>
              <w:bottom w:type="dxa" w:w="80"/>
              <w:right w:type="dxa" w:w="120"/>
            </w:tcMar>
          </w:tcPr>
          <w:p>
            <w:r>
              <w:rPr>
                <w:b/>
                <w:bCs/>
              </w:rPr>
              <w:t xml:space="preserve">🚨 Anomalous</w:t>
            </w:r>
          </w:p>
        </w:tc>
        <w:tc>
          <w:tcPr>
            <w:tcW w:type="dxa" w:w="3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Probable data entry error</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Correct records</w:t>
            </w:r>
          </w:p>
        </w:tc>
      </w:tr>
    </w:tbl>
    <w:p/>
    <w:p>
      <w:pPr>
        <w:pStyle w:val="Heading1"/>
      </w:pPr>
      <w:r>
        <w:t xml:space="preserve">6. Impact of Dynamic Model vs Static Model</w:t>
      </w:r>
    </w:p>
    <w:p>
      <w:r>
        <w:t xml:space="preserve">The table below shows how significantly the dynamic model changes the expected bottle count for the worked example (N=80, W₀=1,100 g, g=15 g/day, L̄=21 days, dose=4 ml/kg):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b/>
                <w:bCs/>
                <w:color w:val="FFFFFF"/>
              </w:rPr>
              <w:t xml:space="preserve">Metric</w:t>
            </w:r>
          </w:p>
        </w:tc>
        <w:tc>
          <w:tcPr>
            <w:tcW w:type="dxa" w:w="33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b/>
                <w:bCs/>
                <w:color w:val="FFFFFF"/>
              </w:rPr>
              <w:t xml:space="preserve">Static (fixed W̄)</w:t>
            </w:r>
          </w:p>
        </w:tc>
        <w:tc>
          <w:tcPr>
            <w:tcW w:type="dxa" w:w="3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b/>
                <w:bCs/>
                <w:color w:val="FFFFFF"/>
              </w:rPr>
              <w:t xml:space="preserve">Dynamic (daily W(d))</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rPr>
              <w:t xml:space="preserve">V_s</w:t>
            </w:r>
          </w:p>
        </w:tc>
        <w:tc>
          <w:tcPr>
            <w:tcW w:type="dxa" w:w="33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r>
              <w:t xml:space="preserve">Fixed: 4.4 ml</w:t>
            </w:r>
          </w:p>
        </w:tc>
        <w:tc>
          <w:tcPr>
            <w:tcW w:type="dxa" w:w="35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b/>
                <w:bCs/>
              </w:rPr>
              <w:t xml:space="preserve">Variable: 4.4→5.7 ml</w:t>
            </w:r>
          </w:p>
        </w:tc>
      </w:tr>
      <w:tr>
        <w:trPr>
          <w:tblHeader w:val="false"/>
        </w:trP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bCs/>
              </w:rPr>
              <w:t xml:space="preserve">Oil hospital</w:t>
            </w:r>
          </w:p>
        </w:tc>
        <w:tc>
          <w:tcPr>
            <w:tcW w:type="dxa" w:w="33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r>
              <w:t xml:space="preserve">283.5 ml</w:t>
            </w:r>
          </w:p>
        </w:tc>
        <w:tc>
          <w:tcPr>
            <w:tcW w:type="dxa" w:w="35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b/>
                <w:bCs/>
              </w:rPr>
              <w:t xml:space="preserve">315 ml</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rPr>
              <w:t xml:space="preserve">Oil home</w:t>
            </w:r>
          </w:p>
        </w:tc>
        <w:tc>
          <w:tcPr>
            <w:tcW w:type="dxa" w:w="33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r>
              <w:t xml:space="preserve">94.5 ml</w:t>
            </w:r>
          </w:p>
        </w:tc>
        <w:tc>
          <w:tcPr>
            <w:tcW w:type="dxa" w:w="35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b/>
                <w:bCs/>
              </w:rPr>
              <w:t xml:space="preserve">178 ml</w:t>
            </w:r>
          </w:p>
        </w:tc>
      </w:tr>
      <w:tr>
        <w:trPr>
          <w:tblHeader w:val="false"/>
        </w:trP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bCs/>
              </w:rPr>
              <w:t xml:space="preserve">Oil total per baby</w:t>
            </w:r>
          </w:p>
        </w:tc>
        <w:tc>
          <w:tcPr>
            <w:tcW w:type="dxa" w:w="33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r>
              <w:t xml:space="preserve">378 ml</w:t>
            </w:r>
          </w:p>
        </w:tc>
        <w:tc>
          <w:tcPr>
            <w:tcW w:type="dxa" w:w="35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b/>
                <w:bCs/>
              </w:rPr>
              <w:t xml:space="preserve">493 ml</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rPr>
              <w:t xml:space="preserve">Bottles hospital</w:t>
            </w:r>
          </w:p>
        </w:tc>
        <w:tc>
          <w:tcPr>
            <w:tcW w:type="dxa" w:w="33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r>
              <w:t xml:space="preserve">3</w:t>
            </w:r>
          </w:p>
        </w:tc>
        <w:tc>
          <w:tcPr>
            <w:tcW w:type="dxa" w:w="35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b/>
                <w:bCs/>
              </w:rPr>
              <w:t xml:space="preserve">4</w:t>
            </w:r>
          </w:p>
        </w:tc>
      </w:tr>
      <w:tr>
        <w:trPr>
          <w:tblHeader w:val="false"/>
        </w:trP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bCs/>
              </w:rPr>
              <w:t xml:space="preserve">Bottles home</w:t>
            </w:r>
          </w:p>
        </w:tc>
        <w:tc>
          <w:tcPr>
            <w:tcW w:type="dxa" w:w="33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r>
              <w:t xml:space="preserve">1</w:t>
            </w:r>
          </w:p>
        </w:tc>
        <w:tc>
          <w:tcPr>
            <w:tcW w:type="dxa" w:w="35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b/>
                <w:bCs/>
              </w:rPr>
              <w:t xml:space="preserve">2</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rPr>
              <w:t xml:space="preserve">Bottles total per baby</w:t>
            </w:r>
          </w:p>
        </w:tc>
        <w:tc>
          <w:tcPr>
            <w:tcW w:type="dxa" w:w="33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r>
              <w:t xml:space="preserve">4</w:t>
            </w:r>
          </w:p>
        </w:tc>
        <w:tc>
          <w:tcPr>
            <w:tcW w:type="dxa" w:w="35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b/>
                <w:bCs/>
              </w:rPr>
              <w:t xml:space="preserve">6</w:t>
            </w:r>
          </w:p>
        </w:tc>
      </w:tr>
      <w:tr>
        <w:trPr>
          <w:tblHeader w:val="false"/>
        </w:trP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bCs/>
              </w:rPr>
              <w:t xml:space="preserve">Cohort expected (N=80)</w:t>
            </w:r>
          </w:p>
        </w:tc>
        <w:tc>
          <w:tcPr>
            <w:tcW w:type="dxa" w:w="33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r>
              <w:t xml:space="preserve">320 bottles</w:t>
            </w:r>
          </w:p>
        </w:tc>
        <w:tc>
          <w:tcPr>
            <w:tcW w:type="dxa" w:w="35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b/>
                <w:bCs/>
              </w:rPr>
              <w:t xml:space="preserve">480 bottles</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rPr>
              <w:t xml:space="preserve">Compliance at 380 actual</w:t>
            </w:r>
          </w:p>
        </w:tc>
        <w:tc>
          <w:tcPr>
            <w:tcW w:type="dxa" w:w="33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r>
              <w:t xml:space="preserve">118.8% ⚠️ (over-use flag)</w:t>
            </w:r>
          </w:p>
        </w:tc>
        <w:tc>
          <w:tcPr>
            <w:tcW w:type="dxa" w:w="35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b/>
                <w:bCs/>
              </w:rPr>
              <w:t xml:space="preserve">79.2% 🔴 (poor)</w:t>
            </w:r>
          </w:p>
        </w:tc>
      </w:tr>
    </w:tbl>
    <w:p/>
    <w:p>
      <w:pPr>
        <w:pBdr>
          <w:left w:val="single" w:color="C0392B" w:sz="8" w:space="4"/>
        </w:pBdr>
        <w:shd w:fill="FFCCCC" w:val="clear"/>
        <w:spacing w:after="80" w:before="80"/>
        <w:ind w:left="360" w:right="360"/>
      </w:pPr>
      <w:r>
        <w:rPr>
          <w:b/>
          <w:bCs/>
          <w:color w:val="C0392B"/>
        </w:rPr>
        <w:t xml:space="preserve">Critical finding: </w:t>
      </w:r>
      <w:r>
        <w:t xml:space="preserve">The same actual consumption of 380 bottles appears as </w:t>
      </w:r>
      <w:r>
        <w:rPr>
          <w:b/>
          <w:bCs/>
        </w:rPr>
        <w:t xml:space="preserve">118.8% (apparent over-use)</w:t>
      </w:r>
      <w:r>
        <w:t xml:space="preserve"> under the static model but </w:t>
      </w:r>
      <w:r>
        <w:rPr>
          <w:b/>
          <w:bCs/>
        </w:rPr>
        <w:t xml:space="preserve">79.2% (poor compliance, 🔴)</w:t>
      </w:r>
      <w:r>
        <w:t xml:space="preserve"> under the dynamic model. The static model gives a </w:t>
      </w:r>
      <w:r>
        <w:rPr>
          <w:b/>
          <w:bCs/>
        </w:rPr>
        <w:t xml:space="preserve">false reassurance</w:t>
      </w:r>
      <w:r>
        <w:t xml:space="preserve"> because it systematically underestimates the expected consumption of heavier babies in later days. The dynamic model is the correct benchmark.</w:t>
      </w:r>
    </w:p>
    <w:p/>
    <w:p>
      <w:pPr>
        <w:pStyle w:val="Heading1"/>
      </w:pPr>
      <w:r>
        <w:t xml:space="preserve">7. Worked Example — Dynamic Model</w:t>
      </w:r>
    </w:p>
    <w:p>
      <w:pPr>
        <w:spacing w:after="120"/>
      </w:pPr>
      <w:r>
        <w:rPr>
          <w:i/>
          <w:iCs/>
          <w:color w:val="555555"/>
        </w:rPr>
        <w:t xml:space="preserve">Complete end-to-end with daily weight growth</w:t>
      </w:r>
    </w:p>
    <w:p>
      <w:pPr>
        <w:pStyle w:val="Heading2"/>
      </w:pPr>
      <w:r>
        <w:t xml:space="preserve">Inputs</w:t>
      </w:r>
    </w:p>
    <w:p>
      <w:pPr>
        <w:shd w:fill="F5F5F5" w:val="clear"/>
        <w:spacing w:after="0" w:before="0"/>
        <w:ind w:left="720"/>
      </w:pPr>
      <w:r>
        <w:rPr>
          <w:rFonts w:ascii="Courier New" w:cs="Courier New" w:eastAsia="Courier New" w:hAnsi="Courier New"/>
          <w:sz w:val="18"/>
          <w:szCs w:val="18"/>
        </w:rPr>
        <w:t xml:space="preserve">N    = 80 enrolled babies</w:t>
      </w:r>
    </w:p>
    <w:p>
      <w:pPr>
        <w:shd w:fill="F5F5F5" w:val="clear"/>
        <w:spacing w:after="0" w:before="0"/>
        <w:ind w:left="720"/>
      </w:pPr>
      <w:r>
        <w:rPr>
          <w:rFonts w:ascii="Courier New" w:cs="Courier New" w:eastAsia="Courier New" w:hAnsi="Courier New"/>
          <w:sz w:val="18"/>
          <w:szCs w:val="18"/>
        </w:rPr>
        <w:t xml:space="preserve">L̄    = 21 days average hospital stay</w:t>
      </w:r>
    </w:p>
    <w:p>
      <w:pPr>
        <w:shd w:fill="F5F5F5" w:val="clear"/>
        <w:spacing w:after="0" w:before="0"/>
        <w:ind w:left="720"/>
      </w:pPr>
      <w:r>
        <w:rPr>
          <w:rFonts w:ascii="Courier New" w:cs="Courier New" w:eastAsia="Courier New" w:hAnsi="Courier New"/>
          <w:sz w:val="18"/>
          <w:szCs w:val="18"/>
        </w:rPr>
        <w:t xml:space="preserve">W₀   = 1,100 g average birth weight</w:t>
      </w:r>
    </w:p>
    <w:p>
      <w:pPr>
        <w:shd w:fill="F5F5F5" w:val="clear"/>
        <w:spacing w:after="0" w:before="0"/>
        <w:ind w:left="720"/>
      </w:pPr>
      <w:r>
        <w:rPr>
          <w:rFonts w:ascii="Courier New" w:cs="Courier New" w:eastAsia="Courier New" w:hAnsi="Courier New"/>
          <w:sz w:val="18"/>
          <w:szCs w:val="18"/>
        </w:rPr>
        <w:t xml:space="preserve">g    = 15 g/day (hospital weight gain)</w:t>
      </w:r>
    </w:p>
    <w:p>
      <w:pPr>
        <w:shd w:fill="F5F5F5" w:val="clear"/>
        <w:spacing w:after="0" w:before="0"/>
        <w:ind w:left="720"/>
      </w:pPr>
      <w:r>
        <w:rPr>
          <w:rFonts w:ascii="Courier New" w:cs="Courier New" w:eastAsia="Courier New" w:hAnsi="Courier New"/>
          <w:sz w:val="18"/>
          <w:szCs w:val="18"/>
        </w:rPr>
        <w:t xml:space="preserve">g_h  = 15 g/day (home weight gain — same rate assumed)</w:t>
      </w:r>
    </w:p>
    <w:p>
      <w:pPr>
        <w:shd w:fill="F5F5F5" w:val="clear"/>
        <w:spacing w:after="0" w:before="0"/>
        <w:ind w:left="720"/>
      </w:pPr>
      <w:r>
        <w:rPr>
          <w:rFonts w:ascii="Courier New" w:cs="Courier New" w:eastAsia="Courier New" w:hAnsi="Courier New"/>
          <w:sz w:val="18"/>
          <w:szCs w:val="18"/>
        </w:rPr>
        <w:t xml:space="preserve">dose = 4 ml/kg per session</w:t>
      </w:r>
    </w:p>
    <w:p>
      <w:pPr>
        <w:shd w:fill="F5F5F5" w:val="clear"/>
        <w:spacing w:after="0" w:before="0"/>
        <w:ind w:left="720"/>
      </w:pPr>
      <w:r>
        <w:rPr>
          <w:rFonts w:ascii="Courier New" w:cs="Courier New" w:eastAsia="Courier New" w:hAnsi="Courier New"/>
          <w:sz w:val="18"/>
          <w:szCs w:val="18"/>
        </w:rPr>
        <w:t xml:space="preserve">f    = 3 sessions/day  |  T = 28 days  |  B = 100 ml</w:t>
      </w:r>
    </w:p>
    <w:p>
      <w:pPr>
        <w:shd w:fill="F5F5F5" w:val="clear"/>
        <w:spacing w:after="0" w:before="0"/>
        <w:ind w:left="720"/>
      </w:pPr>
      <w:r>
        <w:rPr>
          <w:rFonts w:ascii="Courier New" w:cs="Courier New" w:eastAsia="Courier New" w:hAnsi="Courier New"/>
          <w:sz w:val="18"/>
          <w:szCs w:val="18"/>
        </w:rPr>
        <w:t xml:space="preserve">R̄    = 28 − 21 = 7 days (home phase)</w:t>
      </w:r>
    </w:p>
    <w:p>
      <w:pPr>
        <w:shd w:fill="F5F5F5" w:val="clear"/>
        <w:spacing w:after="0" w:before="0"/>
        <w:ind w:left="720"/>
      </w:pPr>
      <w:r>
        <w:rPr>
          <w:rFonts w:ascii="Courier New" w:cs="Courier New" w:eastAsia="Courier New" w:hAnsi="Courier New"/>
          <w:sz w:val="18"/>
          <w:szCs w:val="18"/>
        </w:rPr>
        <w:t xml:space="preserve">Actual bottles used = 380</w:t>
      </w:r>
    </w:p>
    <w:p/>
    <w:p>
      <w:pPr>
        <w:pStyle w:val="Heading2"/>
      </w:pPr>
      <w:r>
        <w:t xml:space="preserve">Step 1 — Average weights</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W̄_stay  =  1,100 + 15 × (21−1) ÷ 2  =  1,100 + 150  =  1,250 g</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W_d      =  1,100 + 15 × 21           =  1,100 + 315  =  1,415 g</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W̄_home  =  1,415 + 15 × (7−1) ÷ 2   =  1,415 + 45   =  1,460 g</w:t>
      </w:r>
    </w:p>
    <w:p/>
    <w:p>
      <w:pPr>
        <w:pStyle w:val="Heading2"/>
      </w:pPr>
      <w:r>
        <w:t xml:space="preserve">Step 2 — Average session volumes</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V_s_stay  =  (1,250 ÷ 1000) × 4  =  5.0 ml per session (hospital average)</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V_s_home  =  (1,460 ÷ 1000) × 4  =  5.84 ml per session (home average)</w:t>
      </w:r>
    </w:p>
    <w:p/>
    <w:p>
      <w:pPr>
        <w:pStyle w:val="Heading2"/>
      </w:pPr>
      <w:r>
        <w:t xml:space="preserve">Step 3 — Oil per baby</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Oil_hospital  =  21 × 3 × 5.00  =  315.0 ml</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Oil_home      =   7 × 3 × 5.84  =  122.6 ml</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Oil_total     =                 =  437.6 ml per baby</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Compare to fixed-weight model:   378.0 ml per baby  (+15.8% difference)</w:t>
      </w:r>
    </w:p>
    <w:p/>
    <w:p>
      <w:pPr>
        <w:pStyle w:val="Heading2"/>
      </w:pPr>
      <w:r>
        <w:t xml:space="preserve">Step 4 — Bottles per baby</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Bottles_hospital  =  ceil(315.0 ÷ 100)  =  4</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Bottles_home      =  ceil(122.6 ÷ 100)  =  2</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Bottles_total     =  4 + 2               =  6 per baby</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Compare to fixed-weight model:  4 bottles per baby  (50% underestimate!)</w:t>
      </w:r>
    </w:p>
    <w:p/>
    <w:p>
      <w:pPr>
        <w:pStyle w:val="Heading2"/>
      </w:pPr>
      <w:r>
        <w:t xml:space="preserve">Step 5 — Cohort expected</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Expected_bottles  =  80 × 6  =  480 bottles</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Compare to fixed-weight model:  320 bottles  (33% underestimate)</w:t>
      </w:r>
    </w:p>
    <w:p/>
    <w:p>
      <w:pPr>
        <w:pStyle w:val="Heading2"/>
      </w:pPr>
      <w:r>
        <w:t xml:space="preserve">Step 6 — Compliance</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V_s_avg        = (315 + 122.6) ÷ (63 + 21)  =  437.6 ÷ 84  =  5.21 ml</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Compliance %   = (380 ÷ 480) × 100  =  79.2%   🔴 Poor</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Variance %     = (380 − 480) ÷ 480 × 100  =  −20.8%</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Missed_ml      = (480 − 380) × 100  =  10,000 ml</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Missed_sessions= 10,000 ÷ 5.21  ≈  1,919 sessions</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Missed_%       = 1,919 ÷ (80 × 84)  ≈  28.6% of expected sessions missed</w:t>
      </w:r>
    </w:p>
    <w:p/>
    <w:p>
      <w:pPr>
        <w:pBdr>
          <w:left w:val="single" w:color="C0392B" w:sz="8" w:space="4"/>
        </w:pBdr>
        <w:shd w:fill="FFCCCC" w:val="clear"/>
        <w:spacing w:after="80" w:before="80"/>
        <w:ind w:left="360" w:right="360"/>
      </w:pPr>
      <w:r>
        <w:rPr>
          <w:b/>
          <w:bCs/>
          <w:color w:val="C0392B"/>
        </w:rPr>
        <w:t xml:space="preserve">Result: </w:t>
      </w:r>
      <w:r>
        <w:t xml:space="preserve">79.2% compliance — </w:t>
      </w:r>
      <w:r>
        <w:rPr>
          <w:b/>
          <w:bCs/>
          <w:color w:val="C0392B"/>
        </w:rPr>
        <w:t xml:space="preserve">Poor category 🔴</w:t>
      </w:r>
      <w:r>
        <w:t xml:space="preserve">. Under the fixed-weight model, the same 380 actual bottles yielded 118.8% (falsely flagged as over-use). The dynamic model correctly identifies a significant compliance gap. An estimated 28.6% of expected sessions are likely missed — requiring immediate site investigation.</w:t>
      </w:r>
    </w:p>
    <w:p/>
    <w:p>
      <w:pPr>
        <w:pStyle w:val="Heading1"/>
      </w:pPr>
      <w:r>
        <w:t xml:space="preserve">8. Dashboard Indicators —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b/>
                <w:bCs/>
                <w:color w:val="FFFFFF"/>
              </w:rPr>
              <w:t xml:space="preserve">Indicator</w:t>
            </w:r>
          </w:p>
        </w:tc>
        <w:tc>
          <w:tcPr>
            <w:tcW w:type="dxa" w:w="3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b/>
                <w:bCs/>
                <w:color w:val="FFFFFF"/>
              </w:rPr>
              <w:t xml:space="preserve">Formula / Source</w:t>
            </w:r>
          </w:p>
        </w:tc>
        <w:tc>
          <w:tcPr>
            <w:tcW w:type="dxa" w:w="32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b/>
                <w:bCs/>
                <w:color w:val="FFFFFF"/>
              </w:rPr>
              <w:t xml:space="preserve">Purpose</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rPr>
              <w:t xml:space="preserve">Expected Bottles</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N × Bottles_total (dynamic)</w:t>
            </w:r>
          </w:p>
        </w:tc>
        <w:tc>
          <w:tcPr>
            <w:tcW w:type="dxa" w:w="3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Benchmark — weight-adjusted</w:t>
            </w:r>
          </w:p>
        </w:tc>
      </w:tr>
      <w:tr>
        <w:trPr>
          <w:tblHeader w:val="false"/>
        </w:trP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bCs/>
              </w:rPr>
              <w:t xml:space="preserve">Actual Bottles</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From oil tracking DB</w:t>
            </w:r>
          </w:p>
        </w:tc>
        <w:tc>
          <w:tcPr>
            <w:tcW w:type="dxa" w:w="3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Observed count</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rPr>
              <w:t xml:space="preserve">Variance (bottles)</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Actual − Expected</w:t>
            </w:r>
          </w:p>
        </w:tc>
        <w:tc>
          <w:tcPr>
            <w:tcW w:type="dxa" w:w="3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Raw gap</w:t>
            </w:r>
          </w:p>
        </w:tc>
      </w:tr>
      <w:tr>
        <w:trPr>
          <w:tblHeader w:val="false"/>
        </w:trP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bCs/>
              </w:rPr>
              <w:t xml:space="preserve">Variance %</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(Actual − Expected) / Expected × 100</w:t>
            </w:r>
          </w:p>
        </w:tc>
        <w:tc>
          <w:tcPr>
            <w:tcW w:type="dxa" w:w="3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Relative gap</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rPr>
              <w:t xml:space="preserve">Compliance %</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Actual / Expected × 100</w:t>
            </w:r>
          </w:p>
        </w:tc>
        <w:tc>
          <w:tcPr>
            <w:tcW w:type="dxa" w:w="3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Primary KPI</w:t>
            </w:r>
          </w:p>
        </w:tc>
      </w:tr>
      <w:tr>
        <w:trPr>
          <w:tblHeader w:val="false"/>
        </w:trP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bCs/>
              </w:rPr>
              <w:t xml:space="preserve">Expected Oil (litres)</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Expected_bottles × 0.1</w:t>
            </w:r>
          </w:p>
        </w:tc>
        <w:tc>
          <w:tcPr>
            <w:tcW w:type="dxa" w:w="3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Volume benchmark</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rPr>
              <w:t xml:space="preserve">Avg bottles/baby</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Actual_bottles / N</w:t>
            </w:r>
          </w:p>
        </w:tc>
        <w:tc>
          <w:tcPr>
            <w:tcW w:type="dxa" w:w="3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Per-baby efficiency</w:t>
            </w:r>
          </w:p>
        </w:tc>
      </w:tr>
      <w:tr>
        <w:trPr>
          <w:tblHeader w:val="false"/>
        </w:trP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bCs/>
              </w:rPr>
              <w:t xml:space="preserve">Est. missed sessions</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max(0,Expected−Actual) × B / V_s_avg</w:t>
            </w:r>
          </w:p>
        </w:tc>
        <w:tc>
          <w:tcPr>
            <w:tcW w:type="dxa" w:w="3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Adherence gap</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rPr>
              <w:t xml:space="preserve">Est. missed days</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Missed_sessions / (N × f)</w:t>
            </w:r>
          </w:p>
        </w:tc>
        <w:tc>
          <w:tcPr>
            <w:tcW w:type="dxa" w:w="3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Clinical unit</w:t>
            </w:r>
          </w:p>
        </w:tc>
      </w:tr>
      <w:tr>
        <w:trPr>
          <w:tblHeader w:val="false"/>
        </w:trP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bCs/>
              </w:rPr>
              <w:t xml:space="preserve">Avg birth weight W₀</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AVG(W₀) from REDCap</w:t>
            </w:r>
          </w:p>
        </w:tc>
        <w:tc>
          <w:tcPr>
            <w:tcW w:type="dxa" w:w="3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Growth baseline</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rPr>
              <w:t xml:space="preserve">Avg discharge weight W_d</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AVG(W_d) from REDCap</w:t>
            </w:r>
          </w:p>
        </w:tc>
        <w:tc>
          <w:tcPr>
            <w:tcW w:type="dxa" w:w="3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Growth endpoint</w:t>
            </w:r>
          </w:p>
        </w:tc>
      </w:tr>
      <w:tr>
        <w:trPr>
          <w:tblHeader w:val="false"/>
        </w:trP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bCs/>
              </w:rPr>
              <w:t xml:space="preserve">Avg daily gain g</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(W_d − W₀) / L̄</w:t>
            </w:r>
          </w:p>
        </w:tc>
        <w:tc>
          <w:tcPr>
            <w:tcW w:type="dxa" w:w="3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Actual growth rate</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rPr>
              <w:t xml:space="preserve">Home vs Hospital split</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Bottles_home / Bottles_total</w:t>
            </w:r>
          </w:p>
        </w:tc>
        <w:tc>
          <w:tcPr>
            <w:tcW w:type="dxa" w:w="3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Discharge planning</w:t>
            </w:r>
          </w:p>
        </w:tc>
      </w:tr>
    </w:tbl>
    <w:p/>
    <w:p>
      <w:pPr>
        <w:pStyle w:val="Heading1"/>
      </w:pPr>
      <w:r>
        <w:t xml:space="preserve">9. Statistical Refinements</w:t>
      </w:r>
    </w:p>
    <w:p>
      <w:pPr>
        <w:pStyle w:val="Heading2"/>
      </w:pPr>
      <w:r>
        <w:t xml:space="preserve">9.1 — Individual-level formula (most accurate)</w:t>
      </w:r>
    </w:p>
    <w:p>
      <w:r>
        <w:t xml:space="preserve">When REDCap contains each baby's actual W₀, W_d, and Lᵢ, use Formula 4.6 for the sum of individual bottle estimates. This accounts for:</w:t>
      </w:r>
    </w:p>
    <w:p>
      <w:pPr>
        <w:pStyle w:val="ListParagraph"/>
        <w:numPr>
          <w:ilvl w:val="0"/>
          <w:numId w:val="2"/>
        </w:numPr>
        <w:spacing w:after="60"/>
      </w:pPr>
      <w:r>
        <w:t xml:space="preserve">Babies with shorter stays (lower W_d, shorter home phase)</w:t>
      </w:r>
    </w:p>
    <w:p>
      <w:pPr>
        <w:pStyle w:val="ListParagraph"/>
        <w:numPr>
          <w:ilvl w:val="0"/>
          <w:numId w:val="2"/>
        </w:numPr>
        <w:spacing w:after="60"/>
      </w:pPr>
      <w:r>
        <w:t xml:space="preserve">Heavier babies who need more oil per session throughout</w:t>
      </w:r>
    </w:p>
    <w:p>
      <w:pPr>
        <w:pStyle w:val="ListParagraph"/>
        <w:numPr>
          <w:ilvl w:val="0"/>
          <w:numId w:val="2"/>
        </w:numPr>
        <w:spacing w:after="60"/>
      </w:pPr>
      <w:r>
        <w:t xml:space="preserve">Variable growth rates between babies</w:t>
      </w:r>
    </w:p>
    <w:p/>
    <w:p>
      <w:pPr>
        <w:pStyle w:val="Heading2"/>
      </w:pPr>
      <w:r>
        <w:t xml:space="preserve">9.2 — Confidence interval</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SE       =  σ_bottles  ÷  √N</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95% CI   =  Compliance%  ±  1.96 × (SE ÷ Expected_per_baby × 100)</w:t>
      </w:r>
    </w:p>
    <w:p/>
    <w:p>
      <w:r>
        <w:t xml:space="preserve">σ_bottles is higher in the dynamic model than the fixed-weight model because individual W₀ and Lᵢ both contribute to variance. Estimate as ~2 × mean if individual data is unavailable.</w:t>
      </w:r>
    </w:p>
    <w:p/>
    <w:p>
      <w:pPr>
        <w:pStyle w:val="Heading2"/>
      </w:pPr>
      <w:r>
        <w:t xml:space="preserve">9.3 — Sensitivity to dose assumption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b/>
                <w:bCs/>
                <w:color w:val="FFFFFF"/>
              </w:rPr>
              <w:t xml:space="preserve">Scenario</w:t>
            </w:r>
          </w:p>
        </w:tc>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b/>
                <w:bCs/>
                <w:color w:val="FFFFFF"/>
              </w:rPr>
              <w:t xml:space="preserve">dose (ml/kg)</w:t>
            </w:r>
          </w:p>
        </w:tc>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b/>
                <w:bCs/>
                <w:color w:val="FFFFFF"/>
              </w:rPr>
              <w:t xml:space="preserve">Expected bottles</w:t>
            </w:r>
          </w:p>
        </w:tc>
        <w:tc>
          <w:tcPr>
            <w:tcW w:type="dxa" w:w="3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b/>
                <w:bCs/>
                <w:color w:val="FFFFFF"/>
              </w:rPr>
              <w:t xml:space="preserve">Compliance at 380 actual</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Low dose (3 ml/kg)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390</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rPr>
              <w:t xml:space="preserve">97% ✅</w:t>
            </w:r>
          </w:p>
        </w:tc>
      </w:tr>
      <w:tr>
        <w:trPr>
          <w:tblHeader w:val="false"/>
        </w:trP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Protocol (4 ml/kg)</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4</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t xml:space="preserve">394</w:t>
            </w:r>
          </w:p>
        </w:tc>
        <w:tc>
          <w:tcPr>
            <w:tcW w:type="dxa" w:w="35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b/>
                <w:bCs/>
              </w:rPr>
              <w:t xml:space="preserve">96% ✅</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High dose (5 ml/kg)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493</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rPr>
              <w:t xml:space="preserve">77% 🔴</w:t>
            </w:r>
          </w:p>
        </w:tc>
      </w:tr>
    </w:tbl>
    <w:p/>
    <w:p>
      <w:pPr>
        <w:pBdr>
          <w:left w:val="single" w:color="E6A817" w:sz="8" w:space="4"/>
        </w:pBdr>
        <w:shd w:fill="FFF3CD" w:val="clear"/>
        <w:spacing w:after="80" w:before="80"/>
        <w:ind w:left="360" w:right="360"/>
      </w:pPr>
      <w:r>
        <w:rPr>
          <w:b/>
          <w:bCs/>
        </w:rPr>
        <w:t xml:space="preserve">Key finding: </w:t>
      </w:r>
      <w:r>
        <w:t xml:space="preserve">At 4 ml/kg protocol dose, compliance is 96% — optimal. If the protocol dose is 5 ml/kg, the same 380 actual bottles gives 77% compliance — poor. Confirming the correct dose is critical before computing compliance.</w:t>
      </w:r>
    </w:p>
    <w:p/>
    <w:p>
      <w:pPr>
        <w:pStyle w:val="Heading2"/>
      </w:pPr>
      <w:r>
        <w:t xml:space="preserve">9.4 — Phased compliance (hospital vs home)</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Hospital compliance %  =  Actual_hospital_bottles ÷ Expected_hospital_bottles × 100</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Home compliance %      =  Actual_home_bottles ÷ Expected_home_bottles × 100</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Worked example (hospital only):</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Expected_hospital = 80 × 4 = 320 bottles</w:t>
      </w:r>
    </w:p>
    <w:p>
      <w:pPr>
        <w:pBdr>
          <w:left w:val="single" w:color="2E75B6" w:sz="8" w:space="4"/>
        </w:pBdr>
        <w:shd w:fill="DEEAF1" w:val="clear"/>
        <w:spacing w:after="0" w:before="0"/>
        <w:ind w:left="720"/>
      </w:pPr>
      <w:r>
        <w:rPr>
          <w:rFonts w:ascii="Courier New" w:cs="Courier New" w:eastAsia="Courier New" w:hAnsi="Courier New"/>
          <w:b/>
          <w:bCs/>
          <w:color w:val="1F4E79"/>
          <w:sz w:val="20"/>
          <w:szCs w:val="20"/>
        </w:rPr>
        <w:t xml:space="preserve">  If actual hospital usage = 305 → Hospital compliance = 305÷320×100 = 95.3% ✅</w:t>
      </w:r>
    </w:p>
    <w:p/>
    <w:p>
      <w:r>
        <w:t xml:space="preserve">Hospital compliance is the </w:t>
      </w:r>
      <w:r>
        <w:rPr>
          <w:b/>
          <w:bCs/>
        </w:rPr>
        <w:t xml:space="preserve">more actionable metric</w:t>
      </w:r>
      <w:r>
        <w:t xml:space="preserve"> because caregivers' home application cannot be verified from bottle tracking. A compliance gap that exists only in the home phase suggests caregiver adherence issues rather than staff non-compliance.</w:t>
      </w:r>
    </w:p>
    <w:p/>
    <w:p>
      <w:pPr>
        <w:pStyle w:val="Heading2"/>
      </w:pPr>
      <w:r>
        <w:t xml:space="preserve">9.5 — Literature benchmarks</w:t>
      </w:r>
    </w:p>
    <w:p>
      <w:pPr>
        <w:pStyle w:val="ListParagraph"/>
        <w:numPr>
          <w:ilvl w:val="0"/>
          <w:numId w:val="2"/>
        </w:numPr>
        <w:spacing w:after="60"/>
      </w:pPr>
      <w:r>
        <w:t xml:space="preserve">Fully protocol-compliant cohorts: 85–95% of expected sessions documented</w:t>
      </w:r>
    </w:p>
    <w:p>
      <w:pPr>
        <w:pStyle w:val="ListParagraph"/>
        <w:numPr>
          <w:ilvl w:val="0"/>
          <w:numId w:val="2"/>
        </w:numPr>
        <w:spacing w:after="60"/>
      </w:pPr>
      <w:r>
        <w:t xml:space="preserve">Community/home studies: 60–80% (substantially lower, expected)</w:t>
      </w:r>
    </w:p>
    <w:p>
      <w:pPr>
        <w:pStyle w:val="ListParagraph"/>
        <w:numPr>
          <w:ilvl w:val="0"/>
          <w:numId w:val="2"/>
        </w:numPr>
        <w:spacing w:after="60"/>
      </w:pPr>
      <w:r>
        <w:t xml:space="preserve">Hospital compliance below 75% is clinically significant in neonatal RCTs</w:t>
      </w:r>
    </w:p>
    <w:p>
      <w:pPr>
        <w:pStyle w:val="ListParagraph"/>
        <w:numPr>
          <w:ilvl w:val="0"/>
          <w:numId w:val="2"/>
        </w:numPr>
        <w:spacing w:after="60"/>
      </w:pPr>
      <w:r>
        <w:t xml:space="preserve">VLBW studies using weight-adjusted dosing should use the dynamic model to avoid systematic underestimation</w:t>
      </w:r>
    </w:p>
    <w:p/>
    <w:p>
      <w:pPr>
        <w:pStyle w:val="Heading1"/>
      </w:pPr>
      <w:r>
        <w:t xml:space="preserve">10. Implementation Suggestions</w:t>
      </w:r>
    </w:p>
    <w:p>
      <w:pPr>
        <w:pStyle w:val="Heading2"/>
      </w:pPr>
      <w:r>
        <w:t xml:space="preserve">Data inputs from REDCap</w:t>
      </w:r>
    </w:p>
    <w:p>
      <w:pPr>
        <w:pStyle w:val="ListParagraph"/>
        <w:numPr>
          <w:ilvl w:val="0"/>
          <w:numId w:val="2"/>
        </w:numPr>
        <w:spacing w:after="60"/>
      </w:pPr>
      <w:r>
        <w:t xml:space="preserve">N — COUNT(enrolled records) from REDCap enrollment form</w:t>
      </w:r>
    </w:p>
    <w:p>
      <w:pPr>
        <w:pStyle w:val="ListParagraph"/>
        <w:numPr>
          <w:ilvl w:val="0"/>
          <w:numId w:val="2"/>
        </w:numPr>
        <w:spacing w:after="60"/>
      </w:pPr>
      <w:r>
        <w:t xml:space="preserve">L̄ — AVG(discharge_day_from_DOB) from discharge form</w:t>
      </w:r>
    </w:p>
    <w:p>
      <w:pPr>
        <w:pStyle w:val="ListParagraph"/>
        <w:numPr>
          <w:ilvl w:val="0"/>
          <w:numId w:val="2"/>
        </w:numPr>
        <w:spacing w:after="60"/>
      </w:pPr>
      <w:r>
        <w:t xml:space="preserve">W₀ — AVG(birth_weight) from enrollment form</w:t>
      </w:r>
    </w:p>
    <w:p>
      <w:pPr>
        <w:pStyle w:val="ListParagraph"/>
        <w:numPr>
          <w:ilvl w:val="0"/>
          <w:numId w:val="2"/>
        </w:numPr>
        <w:spacing w:after="60"/>
      </w:pPr>
      <w:r>
        <w:t xml:space="preserve">W_d — AVG(discharge_weight) from discharge form (if recorded)</w:t>
      </w:r>
    </w:p>
    <w:p>
      <w:pPr>
        <w:pStyle w:val="ListParagraph"/>
        <w:numPr>
          <w:ilvl w:val="0"/>
          <w:numId w:val="2"/>
        </w:numPr>
        <w:spacing w:after="60"/>
      </w:pPr>
      <w:r>
        <w:t xml:space="preserve">g — computed as (W_d − W₀) / L̄, or use 15 g/day default</w:t>
      </w:r>
    </w:p>
    <w:p>
      <w:pPr>
        <w:pStyle w:val="ListParagraph"/>
        <w:numPr>
          <w:ilvl w:val="0"/>
          <w:numId w:val="2"/>
        </w:numPr>
        <w:spacing w:after="60"/>
      </w:pPr>
      <w:r>
        <w:t xml:space="preserve">dose — from protocol document (ml/kg/session)</w:t>
      </w:r>
    </w:p>
    <w:p>
      <w:pPr>
        <w:pStyle w:val="ListParagraph"/>
        <w:numPr>
          <w:ilvl w:val="0"/>
          <w:numId w:val="2"/>
        </w:numPr>
        <w:spacing w:after="60"/>
      </w:pPr>
      <w:r>
        <w:t xml:space="preserve">Actual_bottles — COUNT(distinct bottles) from oil tracking DB</w:t>
      </w:r>
    </w:p>
    <w:p/>
    <w:p>
      <w:pPr>
        <w:pStyle w:val="Heading2"/>
      </w:pPr>
      <w:r>
        <w:t xml:space="preserve">Recommended implementation steps</w:t>
      </w:r>
    </w:p>
    <w:p>
      <w:pPr>
        <w:pStyle w:val="ListParagraph"/>
        <w:numPr>
          <w:ilvl w:val="0"/>
          <w:numId w:val="3"/>
        </w:numPr>
        <w:spacing w:after="60"/>
      </w:pPr>
      <w:r>
        <w:t xml:space="preserve">Fetch W₀ and W_d per baby from REDCap at each data sync</w:t>
      </w:r>
    </w:p>
    <w:p>
      <w:pPr>
        <w:pStyle w:val="ListParagraph"/>
        <w:numPr>
          <w:ilvl w:val="0"/>
          <w:numId w:val="3"/>
        </w:numPr>
        <w:spacing w:after="60"/>
      </w:pPr>
      <w:r>
        <w:t xml:space="preserve">Compute individual gᵢ = (W_d_i − W₀_i) / Lᵢ per baby (or use g=15 if W_d unavailable)</w:t>
      </w:r>
    </w:p>
    <w:p>
      <w:pPr>
        <w:pStyle w:val="ListParagraph"/>
        <w:numPr>
          <w:ilvl w:val="0"/>
          <w:numId w:val="3"/>
        </w:numPr>
        <w:spacing w:after="60"/>
      </w:pPr>
      <w:r>
        <w:t xml:space="preserve">Apply Formula 4.6 for each baby to get individual Bottles_i</w:t>
      </w:r>
    </w:p>
    <w:p>
      <w:pPr>
        <w:pStyle w:val="ListParagraph"/>
        <w:numPr>
          <w:ilvl w:val="0"/>
          <w:numId w:val="3"/>
        </w:numPr>
        <w:spacing w:after="60"/>
      </w:pPr>
      <w:r>
        <w:t xml:space="preserve">Sum to get Expected_total; compare against Actual_bottles from oil tracking DB</w:t>
      </w:r>
    </w:p>
    <w:p>
      <w:pPr>
        <w:pStyle w:val="ListParagraph"/>
        <w:numPr>
          <w:ilvl w:val="0"/>
          <w:numId w:val="3"/>
        </w:numPr>
        <w:spacing w:after="60"/>
      </w:pPr>
      <w:r>
        <w:t xml:space="preserve">Display per-facility compliance % with traffic-light colouring</w:t>
      </w:r>
    </w:p>
    <w:p>
      <w:pPr>
        <w:pStyle w:val="ListParagraph"/>
        <w:numPr>
          <w:ilvl w:val="0"/>
          <w:numId w:val="3"/>
        </w:numPr>
        <w:spacing w:after="60"/>
      </w:pPr>
      <w:r>
        <w:t xml:space="preserve">Alert when compliance &lt; 85% or &gt; 110% (auto-trigger from nightly batch)</w:t>
      </w:r>
    </w:p>
    <w:p/>
    <w:p>
      <w:pPr>
        <w:pBdr>
          <w:left w:val="single" w:color="2E75B6" w:sz="8" w:space="4"/>
        </w:pBdr>
        <w:shd w:fill="DEEAF1" w:val="clear"/>
        <w:spacing w:after="80" w:before="80"/>
        <w:ind w:left="360" w:right="360"/>
      </w:pPr>
      <w:r>
        <w:rPr>
          <w:b/>
          <w:bCs/>
          <w:color w:val="2E75B6"/>
        </w:rPr>
        <w:t xml:space="preserve">If discharge weight is not recorded in REDCap: </w:t>
      </w:r>
      <w:r>
        <w:t xml:space="preserve">Use g = 15 g/day as a conservative default (slightly underestimates the expected total, making your compliance benchmark conservative — any compliance % computed against this benchmark will be slightly higher than reality, erring on the side of not over-alerting).</w:t>
      </w:r>
    </w:p>
    <w:p/>
    <w:p>
      <w:r>
        <w:br w:type="page"/>
      </w:r>
    </w:p>
    <w:p>
      <w:pPr>
        <w:spacing w:after="0"/>
      </w:pPr>
      <w:r>
        <w:rPr>
          <w:rFonts w:ascii="Arial" w:cs="Arial" w:eastAsia="Arial" w:hAnsi="Arial"/>
          <w:b/>
          <w:bCs/>
          <w:color w:val="2E75B6"/>
          <w:sz w:val="20"/>
          <w:szCs w:val="20"/>
        </w:rPr>
        <w:t xml:space="preserve">APPENDIX</w:t>
      </w:r>
    </w:p>
    <w:p>
      <w:pPr>
        <w:shd w:fill="1F4E79" w:val="clear"/>
        <w:spacing w:after="0" w:before="80"/>
        <w:ind w:left="360" w:right="360"/>
        <w:jc w:val="center"/>
      </w:pPr>
      <w:r>
        <w:rPr>
          <w:rFonts w:ascii="Arial" w:cs="Arial" w:eastAsia="Arial" w:hAnsi="Arial"/>
          <w:b/>
          <w:bCs/>
          <w:color w:val="FFFFFF"/>
          <w:sz w:val="48"/>
          <w:szCs w:val="48"/>
        </w:rPr>
        <w:t xml:space="preserve">Meeting Quick Reference</w:t>
      </w:r>
    </w:p>
    <w:p>
      <w:pPr>
        <w:shd w:fill="2E75B6" w:val="clear"/>
        <w:spacing w:after="200" w:before="0"/>
        <w:ind w:left="360" w:right="360"/>
        <w:jc w:val="center"/>
      </w:pPr>
      <w:r>
        <w:rPr>
          <w:rFonts w:ascii="Arial" w:cs="Arial" w:eastAsia="Arial" w:hAnsi="Arial"/>
          <w:i/>
          <w:iCs/>
          <w:color w:val="FFFFFF"/>
          <w:sz w:val="26"/>
          <w:szCs w:val="26"/>
        </w:rPr>
        <w:t xml:space="preserve">Emolliation Bottle Compliance — 30-Second Sanity Check</w:t>
      </w:r>
    </w:p>
    <w:p>
      <w:pPr>
        <w:pBdr>
          <w:left w:val="single" w:color="2E75B6" w:sz="16" w:space="6"/>
        </w:pBdr>
        <w:shd w:fill="DEEAF1" w:val="clear"/>
        <w:spacing w:after="100" w:before="100"/>
        <w:ind w:left="400" w:right="400"/>
      </w:pPr>
      <w:r>
        <w:rPr>
          <w:b/>
          <w:bCs/>
          <w:color w:val="1F4E79"/>
          <w:sz w:val="22"/>
          <w:szCs w:val="22"/>
        </w:rPr>
        <w:t xml:space="preserve">Purpose of this page: </w:t>
      </w:r>
      <w:r>
        <w:rPr>
          <w:sz w:val="22"/>
          <w:szCs w:val="22"/>
        </w:rPr>
        <w:t xml:space="preserve">Use this in a meeting to quickly decide whether the bottle count on the dashboard looks correct. You do not need precise weights, growth models, or spreadsheets. You need 30 seconds and the formula below.</w:t>
      </w:r>
    </w:p>
    <w:p/>
    <w:p>
      <w:pPr>
        <w:pBdr>
          <w:bottom w:val="single" w:color="2E75B6" w:sz="6" w:space="1"/>
        </w:pBdr>
        <w:spacing w:after="80" w:before="0"/>
      </w:pPr>
      <w:r>
        <w:rPr>
          <w:rFonts w:ascii="Arial" w:cs="Arial" w:eastAsia="Arial" w:hAnsi="Arial"/>
          <w:b/>
          <w:bCs/>
          <w:color w:val="1F4E79"/>
          <w:sz w:val="28"/>
          <w:szCs w:val="28"/>
        </w:rPr>
        <w:t xml:space="preserve">The Formula</w:t>
      </w:r>
    </w:p>
    <w:p/>
    <w:p>
      <w:pPr>
        <w:pBdr>
          <w:left w:val="single" w:color="2E75B6" w:sz="12" w:space="6"/>
        </w:pBdr>
        <w:shd w:fill="DEEAF1" w:val="clear"/>
        <w:spacing w:after="0" w:before="0"/>
        <w:ind w:left="480"/>
      </w:pPr>
      <w:r>
        <w:rPr>
          <w:rFonts w:ascii="Courier New" w:cs="Courier New" w:eastAsia="Courier New" w:hAnsi="Courier New"/>
          <w:b/>
          <w:bCs/>
          <w:color w:val="1F4E79"/>
          <w:sz w:val="24"/>
          <w:szCs w:val="24"/>
        </w:rPr>
        <w:t xml:space="preserve">Expected bottles  =  N  ×  ceil( 28 × 3 × dose × W̄  ÷  100,000 )</w:t>
      </w:r>
    </w:p>
    <w:p>
      <w:pPr>
        <w:pBdr>
          <w:left w:val="single" w:color="2E75B6" w:sz="12" w:space="6"/>
        </w:pBdr>
        <w:shd w:fill="DEEAF1" w:val="clear"/>
        <w:spacing w:after="0" w:before="0"/>
        <w:ind w:left="480"/>
      </w:pPr>
      <w:r>
        <w:rPr>
          <w:rFonts w:ascii="Courier New" w:cs="Courier New" w:eastAsia="Courier New" w:hAnsi="Courier New"/>
          <w:b/>
          <w:bCs/>
          <w:color w:val="1F4E79"/>
          <w:sz w:val="24"/>
          <w:szCs w:val="24"/>
        </w:rPr>
        <w:t xml:space="preserve"/>
      </w:r>
    </w:p>
    <w:p>
      <w:pPr>
        <w:pBdr>
          <w:left w:val="single" w:color="2E75B6" w:sz="12" w:space="6"/>
        </w:pBdr>
        <w:shd w:fill="DEEAF1" w:val="clear"/>
        <w:spacing w:after="0" w:before="0"/>
        <w:ind w:left="480"/>
      </w:pPr>
      <w:r>
        <w:rPr>
          <w:rFonts w:ascii="Courier New" w:cs="Courier New" w:eastAsia="Courier New" w:hAnsi="Courier New"/>
          <w:b/>
          <w:bCs/>
          <w:color w:val="1F4E79"/>
          <w:sz w:val="24"/>
          <w:szCs w:val="24"/>
        </w:rPr>
        <w:t xml:space="preserve">  N     =  number of enrolled babies</w:t>
      </w:r>
    </w:p>
    <w:p>
      <w:pPr>
        <w:pBdr>
          <w:left w:val="single" w:color="2E75B6" w:sz="12" w:space="6"/>
        </w:pBdr>
        <w:shd w:fill="DEEAF1" w:val="clear"/>
        <w:spacing w:after="0" w:before="0"/>
        <w:ind w:left="480"/>
      </w:pPr>
      <w:r>
        <w:rPr>
          <w:rFonts w:ascii="Courier New" w:cs="Courier New" w:eastAsia="Courier New" w:hAnsi="Courier New"/>
          <w:b/>
          <w:bCs/>
          <w:color w:val="1F4E79"/>
          <w:sz w:val="24"/>
          <w:szCs w:val="24"/>
        </w:rPr>
        <w:t xml:space="preserve">  dose  =  ml per kg per session  (your protocol value, e.g. 4)</w:t>
      </w:r>
    </w:p>
    <w:p>
      <w:pPr>
        <w:pBdr>
          <w:left w:val="single" w:color="2E75B6" w:sz="12" w:space="6"/>
        </w:pBdr>
        <w:shd w:fill="DEEAF1" w:val="clear"/>
        <w:spacing w:after="0" w:before="0"/>
        <w:ind w:left="480"/>
      </w:pPr>
      <w:r>
        <w:rPr>
          <w:rFonts w:ascii="Courier New" w:cs="Courier New" w:eastAsia="Courier New" w:hAnsi="Courier New"/>
          <w:b/>
          <w:bCs/>
          <w:color w:val="1F4E79"/>
          <w:sz w:val="24"/>
          <w:szCs w:val="24"/>
        </w:rPr>
        <w:t xml:space="preserve">  W̄     =  rough average weight in grams  (birth weight + 150 g)</w:t>
      </w:r>
    </w:p>
    <w:p>
      <w:pPr>
        <w:pBdr>
          <w:left w:val="single" w:color="2E75B6" w:sz="12" w:space="6"/>
        </w:pBdr>
        <w:shd w:fill="DEEAF1" w:val="clear"/>
        <w:spacing w:after="0" w:before="0"/>
        <w:ind w:left="480"/>
      </w:pPr>
      <w:r>
        <w:rPr>
          <w:rFonts w:ascii="Courier New" w:cs="Courier New" w:eastAsia="Courier New" w:hAnsi="Courier New"/>
          <w:b/>
          <w:bCs/>
          <w:color w:val="1F4E79"/>
          <w:sz w:val="24"/>
          <w:szCs w:val="24"/>
        </w:rPr>
        <w:t xml:space="preserve">  28    =  days of treatment</w:t>
      </w:r>
    </w:p>
    <w:p>
      <w:pPr>
        <w:pBdr>
          <w:left w:val="single" w:color="2E75B6" w:sz="12" w:space="6"/>
        </w:pBdr>
        <w:shd w:fill="DEEAF1" w:val="clear"/>
        <w:spacing w:after="0" w:before="0"/>
        <w:ind w:left="480"/>
      </w:pPr>
      <w:r>
        <w:rPr>
          <w:rFonts w:ascii="Courier New" w:cs="Courier New" w:eastAsia="Courier New" w:hAnsi="Courier New"/>
          <w:b/>
          <w:bCs/>
          <w:color w:val="1F4E79"/>
          <w:sz w:val="24"/>
          <w:szCs w:val="24"/>
        </w:rPr>
        <w:t xml:space="preserve">  3     =  sessions per day</w:t>
      </w:r>
    </w:p>
    <w:p>
      <w:pPr>
        <w:pBdr>
          <w:left w:val="single" w:color="2E75B6" w:sz="12" w:space="6"/>
        </w:pBdr>
        <w:shd w:fill="DEEAF1" w:val="clear"/>
        <w:spacing w:after="0" w:before="0"/>
        <w:ind w:left="480"/>
      </w:pPr>
      <w:r>
        <w:rPr>
          <w:rFonts w:ascii="Courier New" w:cs="Courier New" w:eastAsia="Courier New" w:hAnsi="Courier New"/>
          <w:b/>
          <w:bCs/>
          <w:color w:val="1F4E79"/>
          <w:sz w:val="24"/>
          <w:szCs w:val="24"/>
        </w:rPr>
        <w:t xml:space="preserve">  100,000 = 100 ml/bottle × 1,000 g/kg  (unit conversion)</w:t>
      </w:r>
    </w:p>
    <w:p/>
    <w:p>
      <w:pPr>
        <w:pBdr>
          <w:left w:val="single" w:color="D4860A" w:sz="16" w:space="6"/>
        </w:pBdr>
        <w:shd w:fill="FFF3CD" w:val="clear"/>
        <w:spacing w:after="100" w:before="100"/>
        <w:ind w:left="400" w:right="400"/>
      </w:pPr>
      <w:r>
        <w:rPr>
          <w:b/>
          <w:bCs/>
          <w:color w:val="D4860A"/>
          <w:sz w:val="22"/>
          <w:szCs w:val="22"/>
        </w:rPr>
        <w:t xml:space="preserve">Weight shortcut: </w:t>
      </w:r>
      <w:r>
        <w:rPr>
          <w:sz w:val="22"/>
          <w:szCs w:val="22"/>
        </w:rPr>
        <w:t xml:space="preserve">If you don't know the average weight, use </w:t>
      </w:r>
      <w:r>
        <w:rPr>
          <w:b/>
          <w:bCs/>
          <w:sz w:val="22"/>
          <w:szCs w:val="22"/>
        </w:rPr>
        <w:t xml:space="preserve">birth weight + 150 g</w:t>
      </w:r>
      <w:r>
        <w:rPr>
          <w:sz w:val="22"/>
          <w:szCs w:val="22"/>
        </w:rPr>
        <w:t xml:space="preserve">. That approximates the midpoint of a typical hospital stay well enough for a sanity check.</w:t>
      </w:r>
    </w:p>
    <w:p/>
    <w:p>
      <w:pPr>
        <w:pBdr>
          <w:bottom w:val="single" w:color="2E75B6" w:sz="6" w:space="1"/>
        </w:pBdr>
        <w:spacing w:after="80" w:before="0"/>
      </w:pPr>
      <w:r>
        <w:rPr>
          <w:rFonts w:ascii="Arial" w:cs="Arial" w:eastAsia="Arial" w:hAnsi="Arial"/>
          <w:b/>
          <w:bCs/>
          <w:color w:val="1F4E79"/>
          <w:sz w:val="28"/>
          <w:szCs w:val="28"/>
        </w:rPr>
        <w:t xml:space="preserve">9-Step Checklist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00"/>
        <w:gridCol w:w="6040"/>
      </w:tblGrid>
      <w:tr>
        <w:trPr>
          <w:tblHeader/>
        </w:trPr>
        <w:tc>
          <w:tcPr>
            <w:tcW w:type="dxa" w:w="720"/>
            <w:tcBorders>
              <w:top w:val="single" w:color="BBBBBB" w:sz="1"/>
              <w:left w:val="single" w:color="BBBBBB" w:sz="1"/>
              <w:bottom w:val="single" w:color="BBBBBB" w:sz="1"/>
              <w:right w:val="single" w:color="BBBBBB" w:sz="1"/>
            </w:tcBorders>
            <w:shd w:fill="2E75B6" w:val="clear"/>
            <w:tcMar>
              <w:top w:type="dxa" w:w="100"/>
              <w:left w:type="dxa" w:w="160"/>
              <w:bottom w:type="dxa" w:w="100"/>
              <w:right w:type="dxa" w:w="160"/>
            </w:tcMar>
            <w:vAlign w:val="center"/>
          </w:tcPr>
          <w:p>
            <w:r>
              <w:rPr>
                <w:b/>
                <w:bCs/>
                <w:color w:val="FFFFFF"/>
                <w:sz w:val="22"/>
                <w:szCs w:val="22"/>
              </w:rPr>
              <w:t xml:space="preserve">#</w:t>
            </w:r>
          </w:p>
        </w:tc>
        <w:tc>
          <w:tcPr>
            <w:tcW w:type="dxa" w:w="2600"/>
            <w:tcBorders>
              <w:top w:val="single" w:color="BBBBBB" w:sz="1"/>
              <w:left w:val="single" w:color="BBBBBB" w:sz="1"/>
              <w:bottom w:val="single" w:color="BBBBBB" w:sz="1"/>
              <w:right w:val="single" w:color="BBBBBB" w:sz="1"/>
            </w:tcBorders>
            <w:shd w:fill="2E75B6" w:val="clear"/>
            <w:tcMar>
              <w:top w:type="dxa" w:w="100"/>
              <w:left w:type="dxa" w:w="160"/>
              <w:bottom w:type="dxa" w:w="100"/>
              <w:right w:type="dxa" w:w="160"/>
            </w:tcMar>
            <w:vAlign w:val="center"/>
          </w:tcPr>
          <w:p>
            <w:r>
              <w:rPr>
                <w:b/>
                <w:bCs/>
                <w:color w:val="FFFFFF"/>
                <w:sz w:val="22"/>
                <w:szCs w:val="22"/>
              </w:rPr>
              <w:t xml:space="preserve">Input</w:t>
            </w:r>
          </w:p>
        </w:tc>
        <w:tc>
          <w:tcPr>
            <w:tcW w:type="dxa" w:w="6040"/>
            <w:tcBorders>
              <w:top w:val="single" w:color="BBBBBB" w:sz="1"/>
              <w:left w:val="single" w:color="BBBBBB" w:sz="1"/>
              <w:bottom w:val="single" w:color="BBBBBB" w:sz="1"/>
              <w:right w:val="single" w:color="BBBBBB" w:sz="1"/>
            </w:tcBorders>
            <w:shd w:fill="2E75B6" w:val="clear"/>
            <w:tcMar>
              <w:top w:type="dxa" w:w="100"/>
              <w:left w:type="dxa" w:w="160"/>
              <w:bottom w:type="dxa" w:w="100"/>
              <w:right w:type="dxa" w:w="160"/>
            </w:tcMar>
            <w:vAlign w:val="center"/>
          </w:tcPr>
          <w:p>
            <w:r>
              <w:rPr>
                <w:b/>
                <w:bCs/>
                <w:color w:val="FFFFFF"/>
                <w:sz w:val="22"/>
                <w:szCs w:val="22"/>
              </w:rPr>
              <w:t xml:space="preserve">How to get it</w:t>
            </w:r>
          </w:p>
        </w:tc>
      </w:tr>
      <w:tr>
        <w:tc>
          <w:tcPr>
            <w:tcW w:type="dxa" w:w="720"/>
            <w:tcBorders>
              <w:top w:val="single" w:color="BBBBBB" w:sz="1"/>
              <w:left w:val="single" w:color="BBBBBB" w:sz="1"/>
              <w:bottom w:val="single" w:color="BBBBBB" w:sz="1"/>
              <w:right w:val="single" w:color="BBBBBB" w:sz="1"/>
            </w:tcBorders>
            <w:shd w:fill="2E75B6" w:val="clear"/>
            <w:tcMar>
              <w:top w:type="dxa" w:w="100"/>
              <w:left w:type="dxa" w:w="160"/>
              <w:bottom w:type="dxa" w:w="100"/>
              <w:right w:type="dxa" w:w="160"/>
            </w:tcMar>
            <w:vAlign w:val="center"/>
          </w:tcPr>
          <w:p>
            <w:pPr>
              <w:jc w:val="center"/>
            </w:pPr>
            <w:r>
              <w:rPr>
                <w:b/>
                <w:bCs/>
                <w:color w:val="FFFFFF"/>
                <w:sz w:val="22"/>
                <w:szCs w:val="22"/>
              </w:rPr>
              <w:t xml:space="preserve">1</w:t>
            </w:r>
          </w:p>
        </w:tc>
        <w:tc>
          <w:tcPr>
            <w:tcW w:type="dxa" w:w="2600"/>
            <w:tcBorders>
              <w:top w:val="single" w:color="BBBBBB" w:sz="1"/>
              <w:left w:val="single" w:color="BBBBBB" w:sz="1"/>
              <w:bottom w:val="single" w:color="BBBBBB" w:sz="1"/>
              <w:right w:val="single" w:color="BBBBBB" w:sz="1"/>
            </w:tcBorders>
            <w:shd w:fill="F2F2F2" w:val="clear"/>
            <w:tcMar>
              <w:top w:type="dxa" w:w="100"/>
              <w:left w:type="dxa" w:w="160"/>
              <w:bottom w:type="dxa" w:w="100"/>
              <w:right w:type="dxa" w:w="160"/>
            </w:tcMar>
          </w:tcPr>
          <w:p>
            <w:r>
              <w:rPr>
                <w:b/>
                <w:bCs/>
              </w:rPr>
              <w:t xml:space="preserve">Enrolled (N)</w:t>
            </w:r>
          </w:p>
        </w:tc>
        <w:tc>
          <w:tcPr>
            <w:tcW w:type="dxa" w:w="6040"/>
            <w:tcBorders>
              <w:top w:val="single" w:color="BBBBBB" w:sz="1"/>
              <w:left w:val="single" w:color="BBBBBB" w:sz="1"/>
              <w:bottom w:val="single" w:color="BBBBBB" w:sz="1"/>
              <w:right w:val="single" w:color="BBBBBB" w:sz="1"/>
            </w:tcBorders>
            <w:shd w:fill="F2F2F2" w:val="clear"/>
            <w:tcMar>
              <w:top w:type="dxa" w:w="100"/>
              <w:left w:type="dxa" w:w="160"/>
              <w:bottom w:type="dxa" w:w="100"/>
              <w:right w:type="dxa" w:w="160"/>
            </w:tcMar>
          </w:tcPr>
          <w:p>
            <w:r>
              <w:rPr>
                <w:rFonts w:ascii="Courier New" w:cs="Courier New" w:eastAsia="Courier New" w:hAnsi="Courier New"/>
                <w:sz w:val="18"/>
                <w:szCs w:val="18"/>
              </w:rPr>
              <w:t xml:space="preserve">How many babies are enrolled?                  e.g. 80</w:t>
            </w:r>
          </w:p>
        </w:tc>
      </w:tr>
      <w:tr>
        <w:tc>
          <w:tcPr>
            <w:tcW w:type="dxa" w:w="720"/>
            <w:tcBorders>
              <w:top w:val="single" w:color="BBBBBB" w:sz="1"/>
              <w:left w:val="single" w:color="BBBBBB" w:sz="1"/>
              <w:bottom w:val="single" w:color="BBBBBB" w:sz="1"/>
              <w:right w:val="single" w:color="BBBBBB" w:sz="1"/>
            </w:tcBorders>
            <w:shd w:fill="2E75B6" w:val="clear"/>
            <w:tcMar>
              <w:top w:type="dxa" w:w="100"/>
              <w:left w:type="dxa" w:w="160"/>
              <w:bottom w:type="dxa" w:w="100"/>
              <w:right w:type="dxa" w:w="160"/>
            </w:tcMar>
            <w:vAlign w:val="center"/>
          </w:tcPr>
          <w:p>
            <w:pPr>
              <w:jc w:val="center"/>
            </w:pPr>
            <w:r>
              <w:rPr>
                <w:b/>
                <w:bCs/>
                <w:color w:val="FFFFFF"/>
                <w:sz w:val="22"/>
                <w:szCs w:val="22"/>
              </w:rPr>
              <w:t xml:space="preserve">2</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b/>
                <w:bCs/>
              </w:rPr>
              <w:t xml:space="preserve">Avg weight (W̄)</w:t>
            </w:r>
          </w:p>
        </w:tc>
        <w:tc>
          <w:tcPr>
            <w:tcW w:type="dxa" w:w="604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ourier New" w:cs="Courier New" w:eastAsia="Courier New" w:hAnsi="Courier New"/>
                <w:sz w:val="18"/>
                <w:szCs w:val="18"/>
              </w:rPr>
              <w:t xml:space="preserve">Birth weight + 150 g (no data needed)          e.g. 1,250 g</w:t>
            </w:r>
          </w:p>
        </w:tc>
      </w:tr>
      <w:tr>
        <w:tc>
          <w:tcPr>
            <w:tcW w:type="dxa" w:w="720"/>
            <w:tcBorders>
              <w:top w:val="single" w:color="BBBBBB" w:sz="1"/>
              <w:left w:val="single" w:color="BBBBBB" w:sz="1"/>
              <w:bottom w:val="single" w:color="BBBBBB" w:sz="1"/>
              <w:right w:val="single" w:color="BBBBBB" w:sz="1"/>
            </w:tcBorders>
            <w:shd w:fill="2E75B6" w:val="clear"/>
            <w:tcMar>
              <w:top w:type="dxa" w:w="100"/>
              <w:left w:type="dxa" w:w="160"/>
              <w:bottom w:type="dxa" w:w="100"/>
              <w:right w:type="dxa" w:w="160"/>
            </w:tcMar>
            <w:vAlign w:val="center"/>
          </w:tcPr>
          <w:p>
            <w:pPr>
              <w:jc w:val="center"/>
            </w:pPr>
            <w:r>
              <w:rPr>
                <w:b/>
                <w:bCs/>
                <w:color w:val="FFFFFF"/>
                <w:sz w:val="22"/>
                <w:szCs w:val="22"/>
              </w:rPr>
              <w:t xml:space="preserve">3</w:t>
            </w:r>
          </w:p>
        </w:tc>
        <w:tc>
          <w:tcPr>
            <w:tcW w:type="dxa" w:w="2600"/>
            <w:tcBorders>
              <w:top w:val="single" w:color="BBBBBB" w:sz="1"/>
              <w:left w:val="single" w:color="BBBBBB" w:sz="1"/>
              <w:bottom w:val="single" w:color="BBBBBB" w:sz="1"/>
              <w:right w:val="single" w:color="BBBBBB" w:sz="1"/>
            </w:tcBorders>
            <w:shd w:fill="F2F2F2" w:val="clear"/>
            <w:tcMar>
              <w:top w:type="dxa" w:w="100"/>
              <w:left w:type="dxa" w:w="160"/>
              <w:bottom w:type="dxa" w:w="100"/>
              <w:right w:type="dxa" w:w="160"/>
            </w:tcMar>
          </w:tcPr>
          <w:p>
            <w:r>
              <w:rPr>
                <w:b/>
                <w:bCs/>
              </w:rPr>
              <w:t xml:space="preserve">Dose (d)</w:t>
            </w:r>
          </w:p>
        </w:tc>
        <w:tc>
          <w:tcPr>
            <w:tcW w:type="dxa" w:w="6040"/>
            <w:tcBorders>
              <w:top w:val="single" w:color="BBBBBB" w:sz="1"/>
              <w:left w:val="single" w:color="BBBBBB" w:sz="1"/>
              <w:bottom w:val="single" w:color="BBBBBB" w:sz="1"/>
              <w:right w:val="single" w:color="BBBBBB" w:sz="1"/>
            </w:tcBorders>
            <w:shd w:fill="F2F2F2" w:val="clear"/>
            <w:tcMar>
              <w:top w:type="dxa" w:w="100"/>
              <w:left w:type="dxa" w:w="160"/>
              <w:bottom w:type="dxa" w:w="100"/>
              <w:right w:type="dxa" w:w="160"/>
            </w:tcMar>
          </w:tcPr>
          <w:p>
            <w:r>
              <w:rPr>
                <w:rFonts w:ascii="Courier New" w:cs="Courier New" w:eastAsia="Courier New" w:hAnsi="Courier New"/>
                <w:sz w:val="18"/>
                <w:szCs w:val="18"/>
              </w:rPr>
              <w:t xml:space="preserve">Your protocol ml/kg/session                    e.g. 4 ml/kg</w:t>
            </w:r>
          </w:p>
        </w:tc>
      </w:tr>
      <w:tr>
        <w:tc>
          <w:tcPr>
            <w:tcW w:type="dxa" w:w="720"/>
            <w:tcBorders>
              <w:top w:val="single" w:color="BBBBBB" w:sz="1"/>
              <w:left w:val="single" w:color="BBBBBB" w:sz="1"/>
              <w:bottom w:val="single" w:color="BBBBBB" w:sz="1"/>
              <w:right w:val="single" w:color="BBBBBB" w:sz="1"/>
            </w:tcBorders>
            <w:shd w:fill="2E75B6" w:val="clear"/>
            <w:tcMar>
              <w:top w:type="dxa" w:w="100"/>
              <w:left w:type="dxa" w:w="160"/>
              <w:bottom w:type="dxa" w:w="100"/>
              <w:right w:type="dxa" w:w="160"/>
            </w:tcMar>
            <w:vAlign w:val="center"/>
          </w:tcPr>
          <w:p>
            <w:pPr>
              <w:jc w:val="center"/>
            </w:pPr>
            <w:r>
              <w:rPr>
                <w:b/>
                <w:bCs/>
                <w:color w:val="FFFFFF"/>
                <w:sz w:val="22"/>
                <w:szCs w:val="22"/>
              </w:rPr>
              <w:t xml:space="preserve">4</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b/>
                <w:bCs/>
              </w:rPr>
              <w:t xml:space="preserve">ml per baby</w:t>
            </w:r>
          </w:p>
        </w:tc>
        <w:tc>
          <w:tcPr>
            <w:tcW w:type="dxa" w:w="604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ourier New" w:cs="Courier New" w:eastAsia="Courier New" w:hAnsi="Courier New"/>
                <w:sz w:val="18"/>
                <w:szCs w:val="18"/>
              </w:rPr>
              <w:t xml:space="preserve">28 × 3 × d × W̄ ÷ 1000                        e.g. 420 ml</w:t>
            </w:r>
          </w:p>
        </w:tc>
      </w:tr>
      <w:tr>
        <w:tc>
          <w:tcPr>
            <w:tcW w:type="dxa" w:w="720"/>
            <w:tcBorders>
              <w:top w:val="single" w:color="BBBBBB" w:sz="1"/>
              <w:left w:val="single" w:color="BBBBBB" w:sz="1"/>
              <w:bottom w:val="single" w:color="BBBBBB" w:sz="1"/>
              <w:right w:val="single" w:color="BBBBBB" w:sz="1"/>
            </w:tcBorders>
            <w:shd w:fill="2E75B6" w:val="clear"/>
            <w:tcMar>
              <w:top w:type="dxa" w:w="100"/>
              <w:left w:type="dxa" w:w="160"/>
              <w:bottom w:type="dxa" w:w="100"/>
              <w:right w:type="dxa" w:w="160"/>
            </w:tcMar>
            <w:vAlign w:val="center"/>
          </w:tcPr>
          <w:p>
            <w:pPr>
              <w:jc w:val="center"/>
            </w:pPr>
            <w:r>
              <w:rPr>
                <w:b/>
                <w:bCs/>
                <w:color w:val="FFFFFF"/>
                <w:sz w:val="22"/>
                <w:szCs w:val="22"/>
              </w:rPr>
              <w:t xml:space="preserve">5</w:t>
            </w:r>
          </w:p>
        </w:tc>
        <w:tc>
          <w:tcPr>
            <w:tcW w:type="dxa" w:w="2600"/>
            <w:tcBorders>
              <w:top w:val="single" w:color="BBBBBB" w:sz="1"/>
              <w:left w:val="single" w:color="BBBBBB" w:sz="1"/>
              <w:bottom w:val="single" w:color="BBBBBB" w:sz="1"/>
              <w:right w:val="single" w:color="BBBBBB" w:sz="1"/>
            </w:tcBorders>
            <w:shd w:fill="F2F2F2" w:val="clear"/>
            <w:tcMar>
              <w:top w:type="dxa" w:w="100"/>
              <w:left w:type="dxa" w:w="160"/>
              <w:bottom w:type="dxa" w:w="100"/>
              <w:right w:type="dxa" w:w="160"/>
            </w:tcMar>
          </w:tcPr>
          <w:p>
            <w:r>
              <w:rPr>
                <w:b/>
                <w:bCs/>
              </w:rPr>
              <w:t xml:space="preserve">Bottles per baby</w:t>
            </w:r>
          </w:p>
        </w:tc>
        <w:tc>
          <w:tcPr>
            <w:tcW w:type="dxa" w:w="6040"/>
            <w:tcBorders>
              <w:top w:val="single" w:color="BBBBBB" w:sz="1"/>
              <w:left w:val="single" w:color="BBBBBB" w:sz="1"/>
              <w:bottom w:val="single" w:color="BBBBBB" w:sz="1"/>
              <w:right w:val="single" w:color="BBBBBB" w:sz="1"/>
            </w:tcBorders>
            <w:shd w:fill="F2F2F2" w:val="clear"/>
            <w:tcMar>
              <w:top w:type="dxa" w:w="100"/>
              <w:left w:type="dxa" w:w="160"/>
              <w:bottom w:type="dxa" w:w="100"/>
              <w:right w:type="dxa" w:w="160"/>
            </w:tcMar>
          </w:tcPr>
          <w:p>
            <w:r>
              <w:rPr>
                <w:rFonts w:ascii="Courier New" w:cs="Courier New" w:eastAsia="Courier New" w:hAnsi="Courier New"/>
                <w:sz w:val="18"/>
                <w:szCs w:val="18"/>
              </w:rPr>
              <w:t xml:space="preserve">Divide by 100, round up                        e.g. 5</w:t>
            </w:r>
          </w:p>
        </w:tc>
      </w:tr>
      <w:tr>
        <w:tc>
          <w:tcPr>
            <w:tcW w:type="dxa" w:w="720"/>
            <w:tcBorders>
              <w:top w:val="single" w:color="BBBBBB" w:sz="1"/>
              <w:left w:val="single" w:color="BBBBBB" w:sz="1"/>
              <w:bottom w:val="single" w:color="BBBBBB" w:sz="1"/>
              <w:right w:val="single" w:color="BBBBBB" w:sz="1"/>
            </w:tcBorders>
            <w:shd w:fill="2E75B6" w:val="clear"/>
            <w:tcMar>
              <w:top w:type="dxa" w:w="100"/>
              <w:left w:type="dxa" w:w="160"/>
              <w:bottom w:type="dxa" w:w="100"/>
              <w:right w:type="dxa" w:w="160"/>
            </w:tcMar>
            <w:vAlign w:val="center"/>
          </w:tcPr>
          <w:p>
            <w:pPr>
              <w:jc w:val="center"/>
            </w:pPr>
            <w:r>
              <w:rPr>
                <w:b/>
                <w:bCs/>
                <w:color w:val="FFFFFF"/>
                <w:sz w:val="22"/>
                <w:szCs w:val="22"/>
              </w:rPr>
              <w:t xml:space="preserve">6</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b/>
                <w:bCs/>
              </w:rPr>
              <w:t xml:space="preserve">Expected total</w:t>
            </w:r>
          </w:p>
        </w:tc>
        <w:tc>
          <w:tcPr>
            <w:tcW w:type="dxa" w:w="604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ourier New" w:cs="Courier New" w:eastAsia="Courier New" w:hAnsi="Courier New"/>
                <w:sz w:val="18"/>
                <w:szCs w:val="18"/>
              </w:rPr>
              <w:t xml:space="preserve">N × bottles per baby                           e.g. 400</w:t>
            </w:r>
          </w:p>
        </w:tc>
      </w:tr>
      <w:tr>
        <w:tc>
          <w:tcPr>
            <w:tcW w:type="dxa" w:w="720"/>
            <w:tcBorders>
              <w:top w:val="single" w:color="BBBBBB" w:sz="1"/>
              <w:left w:val="single" w:color="BBBBBB" w:sz="1"/>
              <w:bottom w:val="single" w:color="BBBBBB" w:sz="1"/>
              <w:right w:val="single" w:color="BBBBBB" w:sz="1"/>
            </w:tcBorders>
            <w:shd w:fill="2E75B6" w:val="clear"/>
            <w:tcMar>
              <w:top w:type="dxa" w:w="100"/>
              <w:left w:type="dxa" w:w="160"/>
              <w:bottom w:type="dxa" w:w="100"/>
              <w:right w:type="dxa" w:w="160"/>
            </w:tcMar>
            <w:vAlign w:val="center"/>
          </w:tcPr>
          <w:p>
            <w:pPr>
              <w:jc w:val="center"/>
            </w:pPr>
            <w:r>
              <w:rPr>
                <w:b/>
                <w:bCs/>
                <w:color w:val="FFFFFF"/>
                <w:sz w:val="22"/>
                <w:szCs w:val="22"/>
              </w:rPr>
              <w:t xml:space="preserve">7</w:t>
            </w:r>
          </w:p>
        </w:tc>
        <w:tc>
          <w:tcPr>
            <w:tcW w:type="dxa" w:w="2600"/>
            <w:tcBorders>
              <w:top w:val="single" w:color="BBBBBB" w:sz="1"/>
              <w:left w:val="single" w:color="BBBBBB" w:sz="1"/>
              <w:bottom w:val="single" w:color="BBBBBB" w:sz="1"/>
              <w:right w:val="single" w:color="BBBBBB" w:sz="1"/>
            </w:tcBorders>
            <w:shd w:fill="F2F2F2" w:val="clear"/>
            <w:tcMar>
              <w:top w:type="dxa" w:w="100"/>
              <w:left w:type="dxa" w:w="160"/>
              <w:bottom w:type="dxa" w:w="100"/>
              <w:right w:type="dxa" w:w="160"/>
            </w:tcMar>
          </w:tcPr>
          <w:p>
            <w:r>
              <w:rPr>
                <w:b/>
                <w:bCs/>
              </w:rPr>
              <w:t xml:space="preserve">Actual total</w:t>
            </w:r>
          </w:p>
        </w:tc>
        <w:tc>
          <w:tcPr>
            <w:tcW w:type="dxa" w:w="6040"/>
            <w:tcBorders>
              <w:top w:val="single" w:color="BBBBBB" w:sz="1"/>
              <w:left w:val="single" w:color="BBBBBB" w:sz="1"/>
              <w:bottom w:val="single" w:color="BBBBBB" w:sz="1"/>
              <w:right w:val="single" w:color="BBBBBB" w:sz="1"/>
            </w:tcBorders>
            <w:shd w:fill="F2F2F2" w:val="clear"/>
            <w:tcMar>
              <w:top w:type="dxa" w:w="100"/>
              <w:left w:type="dxa" w:w="160"/>
              <w:bottom w:type="dxa" w:w="100"/>
              <w:right w:type="dxa" w:w="160"/>
            </w:tcMar>
          </w:tcPr>
          <w:p>
            <w:r>
              <w:rPr>
                <w:rFonts w:ascii="Courier New" w:cs="Courier New" w:eastAsia="Courier New" w:hAnsi="Courier New"/>
                <w:sz w:val="18"/>
                <w:szCs w:val="18"/>
              </w:rPr>
              <w:t xml:space="preserve">From dashboard / oil tracking system</w:t>
            </w:r>
          </w:p>
        </w:tc>
      </w:tr>
      <w:tr>
        <w:tc>
          <w:tcPr>
            <w:tcW w:type="dxa" w:w="720"/>
            <w:tcBorders>
              <w:top w:val="single" w:color="BBBBBB" w:sz="1"/>
              <w:left w:val="single" w:color="BBBBBB" w:sz="1"/>
              <w:bottom w:val="single" w:color="BBBBBB" w:sz="1"/>
              <w:right w:val="single" w:color="BBBBBB" w:sz="1"/>
            </w:tcBorders>
            <w:shd w:fill="2E75B6" w:val="clear"/>
            <w:tcMar>
              <w:top w:type="dxa" w:w="100"/>
              <w:left w:type="dxa" w:w="160"/>
              <w:bottom w:type="dxa" w:w="100"/>
              <w:right w:type="dxa" w:w="160"/>
            </w:tcMar>
            <w:vAlign w:val="center"/>
          </w:tcPr>
          <w:p>
            <w:pPr>
              <w:jc w:val="center"/>
            </w:pPr>
            <w:r>
              <w:rPr>
                <w:b/>
                <w:bCs/>
                <w:color w:val="FFFFFF"/>
                <w:sz w:val="22"/>
                <w:szCs w:val="22"/>
              </w:rPr>
              <w:t xml:space="preserve">8</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b/>
                <w:bCs/>
              </w:rPr>
              <w:t xml:space="preserve">Compliance %</w:t>
            </w:r>
          </w:p>
        </w:tc>
        <w:tc>
          <w:tcPr>
            <w:tcW w:type="dxa" w:w="604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ourier New" w:cs="Courier New" w:eastAsia="Courier New" w:hAnsi="Courier New"/>
                <w:sz w:val="18"/>
                <w:szCs w:val="18"/>
              </w:rPr>
              <w:t xml:space="preserve">Actual ÷ Expected × 100</w:t>
            </w:r>
          </w:p>
        </w:tc>
      </w:tr>
      <w:tr>
        <w:tc>
          <w:tcPr>
            <w:tcW w:type="dxa" w:w="720"/>
            <w:tcBorders>
              <w:top w:val="single" w:color="BBBBBB" w:sz="1"/>
              <w:left w:val="single" w:color="BBBBBB" w:sz="1"/>
              <w:bottom w:val="single" w:color="BBBBBB" w:sz="1"/>
              <w:right w:val="single" w:color="BBBBBB" w:sz="1"/>
            </w:tcBorders>
            <w:shd w:fill="2E75B6" w:val="clear"/>
            <w:tcMar>
              <w:top w:type="dxa" w:w="100"/>
              <w:left w:type="dxa" w:w="160"/>
              <w:bottom w:type="dxa" w:w="100"/>
              <w:right w:type="dxa" w:w="160"/>
            </w:tcMar>
            <w:vAlign w:val="center"/>
          </w:tcPr>
          <w:p>
            <w:pPr>
              <w:jc w:val="center"/>
            </w:pPr>
            <w:r>
              <w:rPr>
                <w:b/>
                <w:bCs/>
                <w:color w:val="FFFFFF"/>
                <w:sz w:val="22"/>
                <w:szCs w:val="22"/>
              </w:rPr>
              <w:t xml:space="preserve">9</w:t>
            </w:r>
          </w:p>
        </w:tc>
        <w:tc>
          <w:tcPr>
            <w:tcW w:type="dxa" w:w="2600"/>
            <w:tcBorders>
              <w:top w:val="single" w:color="BBBBBB" w:sz="1"/>
              <w:left w:val="single" w:color="BBBBBB" w:sz="1"/>
              <w:bottom w:val="single" w:color="BBBBBB" w:sz="1"/>
              <w:right w:val="single" w:color="BBBBBB" w:sz="1"/>
            </w:tcBorders>
            <w:shd w:fill="F2F2F2" w:val="clear"/>
            <w:tcMar>
              <w:top w:type="dxa" w:w="100"/>
              <w:left w:type="dxa" w:w="160"/>
              <w:bottom w:type="dxa" w:w="100"/>
              <w:right w:type="dxa" w:w="160"/>
            </w:tcMar>
          </w:tcPr>
          <w:p>
            <w:r>
              <w:rPr>
                <w:b/>
                <w:bCs/>
              </w:rPr>
              <w:t xml:space="preserve">Decision</w:t>
            </w:r>
          </w:p>
        </w:tc>
        <w:tc>
          <w:tcPr>
            <w:tcW w:type="dxa" w:w="6040"/>
            <w:tcBorders>
              <w:top w:val="single" w:color="BBBBBB" w:sz="1"/>
              <w:left w:val="single" w:color="BBBBBB" w:sz="1"/>
              <w:bottom w:val="single" w:color="BBBBBB" w:sz="1"/>
              <w:right w:val="single" w:color="BBBBBB" w:sz="1"/>
            </w:tcBorders>
            <w:shd w:fill="F2F2F2" w:val="clear"/>
            <w:tcMar>
              <w:top w:type="dxa" w:w="100"/>
              <w:left w:type="dxa" w:w="160"/>
              <w:bottom w:type="dxa" w:w="100"/>
              <w:right w:type="dxa" w:w="160"/>
            </w:tcMar>
          </w:tcPr>
          <w:p>
            <w:r>
              <w:rPr>
                <w:rFonts w:ascii="Courier New" w:cs="Courier New" w:eastAsia="Courier New" w:hAnsi="Courier New"/>
                <w:sz w:val="18"/>
                <w:szCs w:val="18"/>
              </w:rPr>
              <w:t xml:space="preserve">Green / Amber / Red from table above</w:t>
            </w:r>
          </w:p>
        </w:tc>
      </w:tr>
    </w:tbl>
    <w:p/>
    <w:p>
      <w:pPr>
        <w:pBdr>
          <w:bottom w:val="single" w:color="2E75B6" w:sz="6" w:space="1"/>
        </w:pBdr>
        <w:spacing w:after="80" w:before="0"/>
      </w:pPr>
      <w:r>
        <w:rPr>
          <w:rFonts w:ascii="Arial" w:cs="Arial" w:eastAsia="Arial" w:hAnsi="Arial"/>
          <w:b/>
          <w:bCs/>
          <w:color w:val="1F4E79"/>
          <w:sz w:val="28"/>
          <w:szCs w:val="28"/>
        </w:rPr>
        <w:t xml:space="preserve">Decision Table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100"/>
              <w:left w:type="dxa" w:w="160"/>
              <w:bottom w:type="dxa" w:w="100"/>
              <w:right w:type="dxa" w:w="160"/>
            </w:tcMar>
            <w:vAlign w:val="center"/>
          </w:tcPr>
          <w:p>
            <w:r>
              <w:rPr>
                <w:b/>
                <w:bCs/>
                <w:color w:val="FFFFFF"/>
                <w:sz w:val="22"/>
                <w:szCs w:val="22"/>
              </w:rPr>
              <w:t xml:space="preserve">Compliance %</w:t>
            </w:r>
          </w:p>
        </w:tc>
        <w:tc>
          <w:tcPr>
            <w:tcW w:type="dxa" w:w="2400"/>
            <w:tcBorders>
              <w:top w:val="single" w:color="BBBBBB" w:sz="1"/>
              <w:left w:val="single" w:color="BBBBBB" w:sz="1"/>
              <w:bottom w:val="single" w:color="BBBBBB" w:sz="1"/>
              <w:right w:val="single" w:color="BBBBBB" w:sz="1"/>
            </w:tcBorders>
            <w:shd w:fill="2E75B6" w:val="clear"/>
            <w:tcMar>
              <w:top w:type="dxa" w:w="100"/>
              <w:left w:type="dxa" w:w="160"/>
              <w:bottom w:type="dxa" w:w="100"/>
              <w:right w:type="dxa" w:w="160"/>
            </w:tcMar>
            <w:vAlign w:val="center"/>
          </w:tcPr>
          <w:p>
            <w:r>
              <w:rPr>
                <w:b/>
                <w:bCs/>
                <w:color w:val="FFFFFF"/>
                <w:sz w:val="22"/>
                <w:szCs w:val="22"/>
              </w:rPr>
              <w:t xml:space="preserve">Call it</w:t>
            </w:r>
          </w:p>
        </w:tc>
        <w:tc>
          <w:tcPr>
            <w:tcW w:type="dxa" w:w="4760"/>
            <w:tcBorders>
              <w:top w:val="single" w:color="BBBBBB" w:sz="1"/>
              <w:left w:val="single" w:color="BBBBBB" w:sz="1"/>
              <w:bottom w:val="single" w:color="BBBBBB" w:sz="1"/>
              <w:right w:val="single" w:color="BBBBBB" w:sz="1"/>
            </w:tcBorders>
            <w:shd w:fill="2E75B6" w:val="clear"/>
            <w:tcMar>
              <w:top w:type="dxa" w:w="100"/>
              <w:left w:type="dxa" w:w="160"/>
              <w:bottom w:type="dxa" w:w="100"/>
              <w:right w:type="dxa" w:w="160"/>
            </w:tcMar>
            <w:vAlign w:val="center"/>
          </w:tcPr>
          <w:p>
            <w:r>
              <w:rPr>
                <w:b/>
                <w:bCs/>
                <w:color w:val="FFFFFF"/>
                <w:sz w:val="22"/>
                <w:szCs w:val="22"/>
              </w:rPr>
              <w:t xml:space="preserve">What to say in the meeting</w:t>
            </w:r>
          </w:p>
        </w:tc>
      </w:tr>
      <w:tr>
        <w:trPr>
          <w:tblHeader w:val="false"/>
        </w:trPr>
        <w:tc>
          <w:tcPr>
            <w:tcW w:type="dxa" w:w="2200"/>
            <w:tcBorders>
              <w:top w:val="single" w:color="BBBBBB" w:sz="1"/>
              <w:left w:val="single" w:color="BBBBBB" w:sz="1"/>
              <w:bottom w:val="single" w:color="BBBBBB" w:sz="1"/>
              <w:right w:val="single" w:color="BBBBBB" w:sz="1"/>
            </w:tcBorders>
            <w:shd w:fill="E2EFDA" w:val="clear"/>
            <w:tcMar>
              <w:top w:type="dxa" w:w="180"/>
              <w:left w:type="dxa" w:w="200"/>
              <w:bottom w:type="dxa" w:w="180"/>
              <w:right w:type="dxa" w:w="200"/>
            </w:tcMar>
            <w:vAlign w:val="center"/>
          </w:tcPr>
          <w:p>
            <w:r>
              <w:rPr>
                <w:rFonts w:ascii="Courier New" w:cs="Courier New" w:eastAsia="Courier New" w:hAnsi="Courier New"/>
                <w:b/>
                <w:bCs/>
                <w:sz w:val="20"/>
                <w:szCs w:val="20"/>
              </w:rPr>
              <w:t xml:space="preserve">85 – 115%</w:t>
            </w:r>
          </w:p>
        </w:tc>
        <w:tc>
          <w:tcPr>
            <w:tcW w:type="dxa" w:w="2400"/>
            <w:tcBorders>
              <w:top w:val="single" w:color="BBBBBB" w:sz="1"/>
              <w:left w:val="single" w:color="BBBBBB" w:sz="1"/>
              <w:bottom w:val="single" w:color="BBBBBB" w:sz="1"/>
              <w:right w:val="single" w:color="BBBBBB" w:sz="1"/>
            </w:tcBorders>
            <w:shd w:fill="E2EFDA" w:val="clear"/>
            <w:tcMar>
              <w:top w:type="dxa" w:w="180"/>
              <w:left w:type="dxa" w:w="200"/>
              <w:bottom w:type="dxa" w:w="180"/>
              <w:right w:type="dxa" w:w="200"/>
            </w:tcMar>
            <w:vAlign w:val="center"/>
          </w:tcPr>
          <w:p>
            <w:pPr>
              <w:jc w:val="center"/>
            </w:pPr>
            <w:r>
              <w:rPr>
                <w:b/>
                <w:bCs/>
                <w:color w:val="1E8449"/>
                <w:sz w:val="26"/>
                <w:szCs w:val="26"/>
              </w:rPr>
              <w:t xml:space="preserve">✅  Normal</w:t>
            </w:r>
          </w:p>
        </w:tc>
        <w:tc>
          <w:tcPr>
            <w:tcW w:type="dxa" w:w="4760"/>
            <w:tcBorders>
              <w:top w:val="single" w:color="BBBBBB" w:sz="1"/>
              <w:left w:val="single" w:color="BBBBBB" w:sz="1"/>
              <w:bottom w:val="single" w:color="BBBBBB" w:sz="1"/>
              <w:right w:val="single" w:color="BBBBBB" w:sz="1"/>
            </w:tcBorders>
            <w:shd w:fill="E2EFDA" w:val="clear"/>
            <w:tcMar>
              <w:top w:type="dxa" w:w="180"/>
              <w:left w:type="dxa" w:w="200"/>
              <w:bottom w:type="dxa" w:w="180"/>
              <w:right w:type="dxa" w:w="200"/>
            </w:tcMar>
            <w:vAlign w:val="center"/>
          </w:tcPr>
          <w:p>
            <w:r>
              <w:rPr>
                <w:sz w:val="22"/>
                <w:szCs w:val="22"/>
              </w:rPr>
              <w:t xml:space="preserve">Numbers look right — move on</w:t>
            </w:r>
          </w:p>
        </w:tc>
      </w:tr>
      <w:tr>
        <w:trPr>
          <w:tblHeader w:val="false"/>
        </w:trPr>
        <w:tc>
          <w:tcPr>
            <w:tcW w:type="dxa" w:w="2200"/>
            <w:tcBorders>
              <w:top w:val="single" w:color="BBBBBB" w:sz="1"/>
              <w:left w:val="single" w:color="BBBBBB" w:sz="1"/>
              <w:bottom w:val="single" w:color="BBBBBB" w:sz="1"/>
              <w:right w:val="single" w:color="BBBBBB" w:sz="1"/>
            </w:tcBorders>
            <w:shd w:fill="FFF3CD" w:val="clear"/>
            <w:tcMar>
              <w:top w:type="dxa" w:w="180"/>
              <w:left w:type="dxa" w:w="200"/>
              <w:bottom w:type="dxa" w:w="180"/>
              <w:right w:type="dxa" w:w="200"/>
            </w:tcMar>
            <w:vAlign w:val="center"/>
          </w:tcPr>
          <w:p>
            <w:r>
              <w:rPr>
                <w:rFonts w:ascii="Courier New" w:cs="Courier New" w:eastAsia="Courier New" w:hAnsi="Courier New"/>
                <w:b/>
                <w:bCs/>
                <w:sz w:val="20"/>
                <w:szCs w:val="20"/>
              </w:rPr>
              <w:t xml:space="preserve">70 – 84%  or  116 – 130%</w:t>
            </w:r>
          </w:p>
        </w:tc>
        <w:tc>
          <w:tcPr>
            <w:tcW w:type="dxa" w:w="2400"/>
            <w:tcBorders>
              <w:top w:val="single" w:color="BBBBBB" w:sz="1"/>
              <w:left w:val="single" w:color="BBBBBB" w:sz="1"/>
              <w:bottom w:val="single" w:color="BBBBBB" w:sz="1"/>
              <w:right w:val="single" w:color="BBBBBB" w:sz="1"/>
            </w:tcBorders>
            <w:shd w:fill="FFF3CD" w:val="clear"/>
            <w:tcMar>
              <w:top w:type="dxa" w:w="180"/>
              <w:left w:type="dxa" w:w="200"/>
              <w:bottom w:type="dxa" w:w="180"/>
              <w:right w:type="dxa" w:w="200"/>
            </w:tcMar>
            <w:vAlign w:val="center"/>
          </w:tcPr>
          <w:p>
            <w:pPr>
              <w:jc w:val="center"/>
            </w:pPr>
            <w:r>
              <w:rPr>
                <w:b/>
                <w:bCs/>
                <w:color w:val="D4860A"/>
                <w:sz w:val="26"/>
                <w:szCs w:val="26"/>
              </w:rPr>
              <w:t xml:space="preserve">🟡  Flag</w:t>
            </w:r>
          </w:p>
        </w:tc>
        <w:tc>
          <w:tcPr>
            <w:tcW w:type="dxa" w:w="4760"/>
            <w:tcBorders>
              <w:top w:val="single" w:color="BBBBBB" w:sz="1"/>
              <w:left w:val="single" w:color="BBBBBB" w:sz="1"/>
              <w:bottom w:val="single" w:color="BBBBBB" w:sz="1"/>
              <w:right w:val="single" w:color="BBBBBB" w:sz="1"/>
            </w:tcBorders>
            <w:shd w:fill="FFF3CD" w:val="clear"/>
            <w:tcMar>
              <w:top w:type="dxa" w:w="180"/>
              <w:left w:type="dxa" w:w="200"/>
              <w:bottom w:type="dxa" w:w="180"/>
              <w:right w:type="dxa" w:w="200"/>
            </w:tcMar>
            <w:vAlign w:val="center"/>
          </w:tcPr>
          <w:p>
            <w:r>
              <w:rPr>
                <w:sz w:val="22"/>
                <w:szCs w:val="22"/>
              </w:rPr>
              <w:t xml:space="preserve">Worth one question — ask site manager to check one facility</w:t>
            </w:r>
          </w:p>
        </w:tc>
      </w:tr>
      <w:tr>
        <w:trPr>
          <w:tblHeader w:val="false"/>
        </w:trPr>
        <w:tc>
          <w:tcPr>
            <w:tcW w:type="dxa" w:w="2200"/>
            <w:tcBorders>
              <w:top w:val="single" w:color="BBBBBB" w:sz="1"/>
              <w:left w:val="single" w:color="BBBBBB" w:sz="1"/>
              <w:bottom w:val="single" w:color="BBBBBB" w:sz="1"/>
              <w:right w:val="single" w:color="BBBBBB" w:sz="1"/>
            </w:tcBorders>
            <w:shd w:fill="FFCCCC" w:val="clear"/>
            <w:tcMar>
              <w:top w:type="dxa" w:w="180"/>
              <w:left w:type="dxa" w:w="200"/>
              <w:bottom w:type="dxa" w:w="180"/>
              <w:right w:type="dxa" w:w="200"/>
            </w:tcMar>
            <w:vAlign w:val="center"/>
          </w:tcPr>
          <w:p>
            <w:r>
              <w:rPr>
                <w:rFonts w:ascii="Courier New" w:cs="Courier New" w:eastAsia="Courier New" w:hAnsi="Courier New"/>
                <w:b/>
                <w:bCs/>
                <w:sz w:val="20"/>
                <w:szCs w:val="20"/>
              </w:rPr>
              <w:t xml:space="preserve">&lt; 70%  or  &gt; 130%</w:t>
            </w:r>
          </w:p>
        </w:tc>
        <w:tc>
          <w:tcPr>
            <w:tcW w:type="dxa" w:w="2400"/>
            <w:tcBorders>
              <w:top w:val="single" w:color="BBBBBB" w:sz="1"/>
              <w:left w:val="single" w:color="BBBBBB" w:sz="1"/>
              <w:bottom w:val="single" w:color="BBBBBB" w:sz="1"/>
              <w:right w:val="single" w:color="BBBBBB" w:sz="1"/>
            </w:tcBorders>
            <w:shd w:fill="FFCCCC" w:val="clear"/>
            <w:tcMar>
              <w:top w:type="dxa" w:w="180"/>
              <w:left w:type="dxa" w:w="200"/>
              <w:bottom w:type="dxa" w:w="180"/>
              <w:right w:type="dxa" w:w="200"/>
            </w:tcMar>
            <w:vAlign w:val="center"/>
          </w:tcPr>
          <w:p>
            <w:pPr>
              <w:jc w:val="center"/>
            </w:pPr>
            <w:r>
              <w:rPr>
                <w:b/>
                <w:bCs/>
                <w:color w:val="C0392B"/>
                <w:sz w:val="26"/>
                <w:szCs w:val="26"/>
              </w:rPr>
              <w:t xml:space="preserve">🔴  Stop</w:t>
            </w:r>
          </w:p>
        </w:tc>
        <w:tc>
          <w:tcPr>
            <w:tcW w:type="dxa" w:w="4760"/>
            <w:tcBorders>
              <w:top w:val="single" w:color="BBBBBB" w:sz="1"/>
              <w:left w:val="single" w:color="BBBBBB" w:sz="1"/>
              <w:bottom w:val="single" w:color="BBBBBB" w:sz="1"/>
              <w:right w:val="single" w:color="BBBBBB" w:sz="1"/>
            </w:tcBorders>
            <w:shd w:fill="FFCCCC" w:val="clear"/>
            <w:tcMar>
              <w:top w:type="dxa" w:w="180"/>
              <w:left w:type="dxa" w:w="200"/>
              <w:bottom w:type="dxa" w:w="180"/>
              <w:right w:type="dxa" w:w="200"/>
            </w:tcMar>
            <w:vAlign w:val="center"/>
          </w:tcPr>
          <w:p>
            <w:r>
              <w:rPr>
                <w:sz w:val="22"/>
                <w:szCs w:val="22"/>
              </w:rPr>
              <w:t xml:space="preserve">Something is wrong — pause and investigate before proceeding</w:t>
            </w:r>
          </w:p>
        </w:tc>
      </w:tr>
    </w:tbl>
    <w:p/>
    <w:p>
      <w:pPr>
        <w:pBdr>
          <w:bottom w:val="single" w:color="2E75B6" w:sz="6" w:space="1"/>
        </w:pBdr>
        <w:spacing w:after="80" w:before="0"/>
      </w:pPr>
      <w:r>
        <w:rPr>
          <w:rFonts w:ascii="Arial" w:cs="Arial" w:eastAsia="Arial" w:hAnsi="Arial"/>
          <w:b/>
          <w:bCs/>
          <w:color w:val="1F4E79"/>
          <w:sz w:val="28"/>
          <w:szCs w:val="28"/>
        </w:rPr>
        <w:t xml:space="preserve">Worked Example  —  do this in your head</w:t>
      </w:r>
    </w:p>
    <w:p/>
    <w:p>
      <w:pPr>
        <w:pBdr>
          <w:left w:val="single" w:color="2E75B6" w:sz="12" w:space="6"/>
        </w:pBdr>
        <w:shd w:fill="DEEAF1" w:val="clear"/>
        <w:spacing w:after="0" w:before="0"/>
        <w:ind w:left="480"/>
      </w:pPr>
      <w:r>
        <w:rPr>
          <w:rFonts w:ascii="Courier New" w:cs="Courier New" w:eastAsia="Courier New" w:hAnsi="Courier New"/>
          <w:b/>
          <w:bCs/>
          <w:color w:val="1F4E79"/>
          <w:sz w:val="24"/>
          <w:szCs w:val="24"/>
        </w:rPr>
        <w:t xml:space="preserve">Inputs:   N=80,  birth weight=1,100 g,  dose=4 ml/kg</w:t>
      </w:r>
    </w:p>
    <w:p>
      <w:pPr>
        <w:pBdr>
          <w:left w:val="single" w:color="2E75B6" w:sz="12" w:space="6"/>
        </w:pBdr>
        <w:shd w:fill="DEEAF1" w:val="clear"/>
        <w:spacing w:after="0" w:before="0"/>
        <w:ind w:left="480"/>
      </w:pPr>
      <w:r>
        <w:rPr>
          <w:rFonts w:ascii="Courier New" w:cs="Courier New" w:eastAsia="Courier New" w:hAnsi="Courier New"/>
          <w:b/>
          <w:bCs/>
          <w:color w:val="1F4E79"/>
          <w:sz w:val="24"/>
          <w:szCs w:val="24"/>
        </w:rPr>
        <w:t xml:space="preserve"/>
      </w:r>
    </w:p>
    <w:p>
      <w:pPr>
        <w:pBdr>
          <w:left w:val="single" w:color="2E75B6" w:sz="12" w:space="6"/>
        </w:pBdr>
        <w:shd w:fill="DEEAF1" w:val="clear"/>
        <w:spacing w:after="0" w:before="0"/>
        <w:ind w:left="480"/>
      </w:pPr>
      <w:r>
        <w:rPr>
          <w:rFonts w:ascii="Courier New" w:cs="Courier New" w:eastAsia="Courier New" w:hAnsi="Courier New"/>
          <w:b/>
          <w:bCs/>
          <w:color w:val="1F4E79"/>
          <w:sz w:val="24"/>
          <w:szCs w:val="24"/>
        </w:rPr>
        <w:t xml:space="preserve">Step 2:   W̄ = 1,100 + 150  =  1,250 g</w:t>
      </w:r>
    </w:p>
    <w:p>
      <w:pPr>
        <w:pBdr>
          <w:left w:val="single" w:color="2E75B6" w:sz="12" w:space="6"/>
        </w:pBdr>
        <w:shd w:fill="DEEAF1" w:val="clear"/>
        <w:spacing w:after="0" w:before="0"/>
        <w:ind w:left="480"/>
      </w:pPr>
      <w:r>
        <w:rPr>
          <w:rFonts w:ascii="Courier New" w:cs="Courier New" w:eastAsia="Courier New" w:hAnsi="Courier New"/>
          <w:b/>
          <w:bCs/>
          <w:color w:val="1F4E79"/>
          <w:sz w:val="24"/>
          <w:szCs w:val="24"/>
        </w:rPr>
        <w:t xml:space="preserve">Step 4:   ml/baby = 28 × 3 × 4 × 1.25  =  420 ml</w:t>
      </w:r>
    </w:p>
    <w:p>
      <w:pPr>
        <w:pBdr>
          <w:left w:val="single" w:color="2E75B6" w:sz="12" w:space="6"/>
        </w:pBdr>
        <w:shd w:fill="DEEAF1" w:val="clear"/>
        <w:spacing w:after="0" w:before="0"/>
        <w:ind w:left="480"/>
      </w:pPr>
      <w:r>
        <w:rPr>
          <w:rFonts w:ascii="Courier New" w:cs="Courier New" w:eastAsia="Courier New" w:hAnsi="Courier New"/>
          <w:b/>
          <w:bCs/>
          <w:color w:val="1F4E79"/>
          <w:sz w:val="24"/>
          <w:szCs w:val="24"/>
        </w:rPr>
        <w:t xml:space="preserve">Step 5:   bottles/baby = ceil(420 ÷ 100)  =  5</w:t>
      </w:r>
    </w:p>
    <w:p>
      <w:pPr>
        <w:pBdr>
          <w:left w:val="single" w:color="2E75B6" w:sz="12" w:space="6"/>
        </w:pBdr>
        <w:shd w:fill="DEEAF1" w:val="clear"/>
        <w:spacing w:after="0" w:before="0"/>
        <w:ind w:left="480"/>
      </w:pPr>
      <w:r>
        <w:rPr>
          <w:rFonts w:ascii="Courier New" w:cs="Courier New" w:eastAsia="Courier New" w:hAnsi="Courier New"/>
          <w:b/>
          <w:bCs/>
          <w:color w:val="1F4E79"/>
          <w:sz w:val="24"/>
          <w:szCs w:val="24"/>
        </w:rPr>
        <w:t xml:space="preserve">Step 6:   expected = 80 × 5  =  400 bottles</w:t>
      </w:r>
    </w:p>
    <w:p>
      <w:pPr>
        <w:pBdr>
          <w:left w:val="single" w:color="2E75B6" w:sz="12" w:space="6"/>
        </w:pBdr>
        <w:shd w:fill="DEEAF1" w:val="clear"/>
        <w:spacing w:after="0" w:before="0"/>
        <w:ind w:left="480"/>
      </w:pPr>
      <w:r>
        <w:rPr>
          <w:rFonts w:ascii="Courier New" w:cs="Courier New" w:eastAsia="Courier New" w:hAnsi="Courier New"/>
          <w:b/>
          <w:bCs/>
          <w:color w:val="1F4E79"/>
          <w:sz w:val="24"/>
          <w:szCs w:val="24"/>
        </w:rPr>
        <w:t xml:space="preserve">Step 7:   dashboard shows 380 bottles</w:t>
      </w:r>
    </w:p>
    <w:p>
      <w:pPr>
        <w:pBdr>
          <w:left w:val="single" w:color="2E75B6" w:sz="12" w:space="6"/>
        </w:pBdr>
        <w:shd w:fill="DEEAF1" w:val="clear"/>
        <w:spacing w:after="0" w:before="0"/>
        <w:ind w:left="480"/>
      </w:pPr>
      <w:r>
        <w:rPr>
          <w:rFonts w:ascii="Courier New" w:cs="Courier New" w:eastAsia="Courier New" w:hAnsi="Courier New"/>
          <w:b/>
          <w:bCs/>
          <w:color w:val="1F4E79"/>
          <w:sz w:val="24"/>
          <w:szCs w:val="24"/>
        </w:rPr>
        <w:t xml:space="preserve">Step 8:   compliance = 380 ÷ 400 × 100  =  95%</w:t>
      </w:r>
    </w:p>
    <w:p>
      <w:pPr>
        <w:pBdr>
          <w:left w:val="single" w:color="2E75B6" w:sz="12" w:space="6"/>
        </w:pBdr>
        <w:shd w:fill="DEEAF1" w:val="clear"/>
        <w:spacing w:after="0" w:before="0"/>
        <w:ind w:left="480"/>
      </w:pPr>
      <w:r>
        <w:rPr>
          <w:rFonts w:ascii="Courier New" w:cs="Courier New" w:eastAsia="Courier New" w:hAnsi="Courier New"/>
          <w:b/>
          <w:bCs/>
          <w:color w:val="1F4E79"/>
          <w:sz w:val="24"/>
          <w:szCs w:val="24"/>
        </w:rPr>
        <w:t xml:space="preserve">Step 9:   95% → ✅ Normal — numbers look right, move on</w:t>
      </w:r>
    </w:p>
    <w:p/>
    <w:p>
      <w:pPr>
        <w:pBdr>
          <w:left w:val="single" w:color="1E8449" w:sz="16" w:space="6"/>
        </w:pBdr>
        <w:shd w:fill="E2EFDA" w:val="clear"/>
        <w:spacing w:after="100" w:before="100"/>
        <w:ind w:left="400" w:right="400"/>
      </w:pPr>
      <w:r>
        <w:rPr>
          <w:b/>
          <w:bCs/>
          <w:color w:val="1E8449"/>
          <w:sz w:val="22"/>
          <w:szCs w:val="22"/>
        </w:rPr>
        <w:t xml:space="preserve">Key rule: </w:t>
      </w:r>
      <w:r>
        <w:rPr>
          <w:sz w:val="22"/>
          <w:szCs w:val="22"/>
        </w:rPr>
        <w:t xml:space="preserve">The formula is intentionally rough. You are not computing the exact answer — you are checking whether the dashboard number is in the right universe. If compliance sits between 85% and 115%, the tracking is working. Anything outside that range is worth a question.</w:t>
      </w:r>
    </w:p>
    <w:p/>
    <w:p>
      <w:pPr>
        <w:spacing w:before="120"/>
        <w:jc w:val="center"/>
      </w:pPr>
      <w:r>
        <w:rPr>
          <w:i/>
          <w:iCs/>
          <w:color w:val="777777"/>
          <w:sz w:val="18"/>
          <w:szCs w:val="18"/>
        </w:rPr>
        <w:t xml:space="preserve">For the full model with daily weight data, growth curves, confidence intervals, and per-facility compliance breakdown, refer to the main document sections 3–9.</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spacing w:before="80"/>
    </w:pPr>
    <w:r>
      <w:rPr>
        <w:color w:val="888888"/>
        <w:sz w:val="18"/>
        <w:szCs w:val="18"/>
      </w:rPr>
      <w:t xml:space="preserve">Confidential — Research Use Only  |  </w:t>
    </w: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b/>
        <w:bCs/>
        <w:color w:val="2E75B6"/>
        <w:sz w:val="18"/>
        <w:szCs w:val="18"/>
      </w:rPr>
      <w:t xml:space="preserve">Emolliation Consumption Estimator — Dynamic Weight Model — VLBW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E79" w:val="clear"/>
      <w:spacing w:after="180" w:before="360"/>
      <w:ind w:left="360"/>
      <w:outlineLvl w:val="0"/>
    </w:pPr>
    <w:rPr>
      <w:rFonts w:ascii="Arial" w:cs="Arial" w:eastAsia="Arial" w:hAnsi="Arial"/>
      <w:b/>
      <w:bCs/>
      <w:color w:val="FFFFFF"/>
      <w:sz w:val="32"/>
      <w:szCs w:val="32"/>
    </w:rPr>
  </w:style>
  <w:style w:type="paragraph" w:styleId="Heading2">
    <w:name w:val="Heading 2"/>
    <w:basedOn w:val="Normal"/>
    <w:next w:val="Normal"/>
    <w:qFormat/>
    <w:pPr>
      <w:pBdr>
        <w:bottom w:val="single" w:color="2E75B6" w:sz="4" w:space="1"/>
      </w:pBd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F4E79"/>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2026-05-15T15:29:42.434Z</dcterms:created>
  <dcterms:modified xsi:type="dcterms:W3CDTF">2026-05-15T15:29:42.453Z</dcterms:modified>
</cp:coreProperties>
</file>

<file path=docProps/custom.xml><?xml version="1.0" encoding="utf-8"?>
<Properties xmlns="http://schemas.openxmlformats.org/officeDocument/2006/custom-properties" xmlns:vt="http://schemas.openxmlformats.org/officeDocument/2006/docPropsVTypes"/>
</file>