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560"/>
      </w:pPr>
      <w:r>
        <w:rPr>
          <w:rFonts w:ascii="Calibri" w:hAnsi="Calibri" w:eastAsia="Calibri"/>
          <w:b/>
          <w:color w:val="2E74B5"/>
          <w:sz w:val="18"/>
        </w:rPr>
        <w:t>RESEARCH PAPER  |  AUGUST 2026</w:t>
      </w:r>
    </w:p>
    <w:p>
      <w:pPr>
        <w:spacing w:after="280"/>
        <w:jc w:val="left"/>
      </w:pPr>
      <w:r>
        <w:rPr>
          <w:rFonts w:ascii="Calibri" w:hAnsi="Calibri" w:eastAsia="Calibri"/>
          <w:b/>
          <w:color w:val="172033"/>
          <w:sz w:val="60"/>
        </w:rPr>
        <w:t>Corruption in American</w:t>
        <w:br/>
      </w:r>
      <w:r>
        <w:rPr>
          <w:rFonts w:ascii="Calibri" w:hAnsi="Calibri" w:eastAsia="Calibri"/>
          <w:b/>
          <w:color w:val="172033"/>
          <w:sz w:val="60"/>
        </w:rPr>
        <w:t>Politics Since 1960</w:t>
      </w:r>
    </w:p>
    <w:p>
      <w:pPr>
        <w:spacing w:after="480"/>
      </w:pPr>
      <w:r>
        <w:rPr>
          <w:rFonts w:ascii="Calibri" w:hAnsi="Calibri" w:eastAsia="Calibri"/>
          <w:color w:val="2E74B5"/>
          <w:sz w:val="32"/>
        </w:rPr>
        <w:t>From Bribery to Institutionalized Self-Dealing, Privileged Markets, and Unequal Accountability</w:t>
      </w:r>
    </w:p>
    <w:p>
      <w:pPr>
        <w:spacing w:after="480"/>
        <w:pBdr>
          <w:bottom w:val="single" w:sz="14" w:space="1" w:color="2E74B5"/>
        </w:pBdr>
      </w:pPr>
    </w:p>
    <w:tbl>
      <w:tblPr>
        <w:tblW w:type="auto" w:w="0"/>
        <w:tblLayout w:type="fixed"/>
        <w:tblLook w:firstColumn="1" w:firstRow="1" w:lastColumn="0" w:lastRow="0" w:noHBand="0" w:noVBand="1" w:val="04A0"/>
      </w:tblPr>
      <w:tblGrid>
        <w:gridCol w:w="2232"/>
        <w:gridCol w:w="7128"/>
      </w:tblGrid>
      <w:tr>
        <w:tc>
          <w:tcPr>
            <w:tcW w:type="dxa" w:w="2232"/>
            <w:vAlign w:val="center"/>
            <w:tcMar>
              <w:top w:w="120" w:type="dxa"/>
              <w:start w:w="180" w:type="dxa"/>
              <w:bottom w:w="120" w:type="dxa"/>
              <w:end w:w="180" w:type="dxa"/>
            </w:tcMar>
            <w:shd w:fill="EAF2F8"/>
          </w:tcPr>
          <w:p>
            <w:pPr>
              <w:spacing w:after="0"/>
            </w:pPr>
            <w:r>
              <w:rPr>
                <w:rFonts w:ascii="Calibri" w:hAnsi="Calibri" w:eastAsia="Calibri"/>
                <w:b/>
                <w:color w:val="2E74B5"/>
                <w:sz w:val="16"/>
              </w:rPr>
              <w:t>SCOPE</w:t>
            </w:r>
          </w:p>
        </w:tc>
        <w:tc>
          <w:tcPr>
            <w:tcW w:type="dxa" w:w="7128"/>
            <w:vAlign w:val="center"/>
            <w:tcMar>
              <w:top w:w="120" w:type="dxa"/>
              <w:start w:w="180" w:type="dxa"/>
              <w:bottom w:w="120" w:type="dxa"/>
              <w:end w:w="180" w:type="dxa"/>
            </w:tcMar>
          </w:tcPr>
          <w:p>
            <w:pPr>
              <w:spacing w:after="0"/>
            </w:pPr>
            <w:r>
              <w:rPr>
                <w:rFonts w:ascii="Calibri" w:hAnsi="Calibri" w:eastAsia="Calibri"/>
                <w:color w:val="172033"/>
                <w:sz w:val="21"/>
              </w:rPr>
              <w:t>United States federal politics, with selected state and local cases</w:t>
            </w:r>
          </w:p>
        </w:tc>
      </w:tr>
      <w:tr>
        <w:tc>
          <w:tcPr>
            <w:tcW w:type="dxa" w:w="2232"/>
            <w:vAlign w:val="center"/>
            <w:tcMar>
              <w:top w:w="120" w:type="dxa"/>
              <w:start w:w="180" w:type="dxa"/>
              <w:bottom w:w="120" w:type="dxa"/>
              <w:end w:w="180" w:type="dxa"/>
            </w:tcMar>
            <w:shd w:fill="EAF2F8"/>
          </w:tcPr>
          <w:p>
            <w:pPr>
              <w:spacing w:after="0"/>
            </w:pPr>
            <w:r>
              <w:rPr>
                <w:rFonts w:ascii="Calibri" w:hAnsi="Calibri" w:eastAsia="Calibri"/>
                <w:b/>
                <w:color w:val="2E74B5"/>
                <w:sz w:val="16"/>
              </w:rPr>
              <w:t>PERIOD</w:t>
            </w:r>
          </w:p>
        </w:tc>
        <w:tc>
          <w:tcPr>
            <w:tcW w:type="dxa" w:w="7128"/>
            <w:vAlign w:val="center"/>
            <w:tcMar>
              <w:top w:w="120" w:type="dxa"/>
              <w:start w:w="180" w:type="dxa"/>
              <w:bottom w:w="120" w:type="dxa"/>
              <w:end w:w="180" w:type="dxa"/>
            </w:tcMar>
          </w:tcPr>
          <w:p>
            <w:pPr>
              <w:spacing w:after="0"/>
            </w:pPr>
            <w:r>
              <w:rPr>
                <w:rFonts w:ascii="Calibri" w:hAnsi="Calibri" w:eastAsia="Calibri"/>
                <w:color w:val="172033"/>
                <w:sz w:val="21"/>
              </w:rPr>
              <w:t>1960 through August 17, 2026</w:t>
            </w:r>
          </w:p>
        </w:tc>
      </w:tr>
      <w:tr>
        <w:tc>
          <w:tcPr>
            <w:tcW w:type="dxa" w:w="2232"/>
            <w:vAlign w:val="center"/>
            <w:tcMar>
              <w:top w:w="120" w:type="dxa"/>
              <w:start w:w="180" w:type="dxa"/>
              <w:bottom w:w="120" w:type="dxa"/>
              <w:end w:w="180" w:type="dxa"/>
            </w:tcMar>
            <w:shd w:fill="EAF2F8"/>
          </w:tcPr>
          <w:p>
            <w:pPr>
              <w:spacing w:after="0"/>
            </w:pPr>
            <w:r>
              <w:rPr>
                <w:rFonts w:ascii="Calibri" w:hAnsi="Calibri" w:eastAsia="Calibri"/>
                <w:b/>
                <w:color w:val="2E74B5"/>
                <w:sz w:val="16"/>
              </w:rPr>
              <w:t>METHOD</w:t>
            </w:r>
          </w:p>
        </w:tc>
        <w:tc>
          <w:tcPr>
            <w:tcW w:type="dxa" w:w="7128"/>
            <w:vAlign w:val="center"/>
            <w:tcMar>
              <w:top w:w="120" w:type="dxa"/>
              <w:start w:w="180" w:type="dxa"/>
              <w:bottom w:w="120" w:type="dxa"/>
              <w:end w:w="180" w:type="dxa"/>
            </w:tcMar>
          </w:tcPr>
          <w:p>
            <w:pPr>
              <w:spacing w:after="0"/>
            </w:pPr>
            <w:r>
              <w:rPr>
                <w:rFonts w:ascii="Calibri" w:hAnsi="Calibri" w:eastAsia="Calibri"/>
                <w:color w:val="172033"/>
                <w:sz w:val="21"/>
              </w:rPr>
              <w:t>Evidence-graded historical and institutional analysis</w:t>
            </w:r>
          </w:p>
        </w:tc>
      </w:tr>
      <w:tr>
        <w:tc>
          <w:tcPr>
            <w:tcW w:type="dxa" w:w="2232"/>
            <w:vAlign w:val="center"/>
            <w:tcMar>
              <w:top w:w="120" w:type="dxa"/>
              <w:start w:w="180" w:type="dxa"/>
              <w:bottom w:w="120" w:type="dxa"/>
              <w:end w:w="180" w:type="dxa"/>
            </w:tcMar>
            <w:shd w:fill="EAF2F8"/>
          </w:tcPr>
          <w:p>
            <w:pPr>
              <w:spacing w:after="0"/>
            </w:pPr>
            <w:r>
              <w:rPr>
                <w:rFonts w:ascii="Calibri" w:hAnsi="Calibri" w:eastAsia="Calibri"/>
                <w:b/>
                <w:color w:val="2E74B5"/>
                <w:sz w:val="16"/>
              </w:rPr>
              <w:t>CITATION</w:t>
            </w:r>
          </w:p>
        </w:tc>
        <w:tc>
          <w:tcPr>
            <w:tcW w:type="dxa" w:w="7128"/>
            <w:vAlign w:val="center"/>
            <w:tcMar>
              <w:top w:w="120" w:type="dxa"/>
              <w:start w:w="180" w:type="dxa"/>
              <w:bottom w:w="120" w:type="dxa"/>
              <w:end w:w="180" w:type="dxa"/>
            </w:tcMar>
          </w:tcPr>
          <w:p>
            <w:pPr>
              <w:spacing w:after="0"/>
            </w:pPr>
            <w:r>
              <w:rPr>
                <w:rFonts w:ascii="Calibri" w:hAnsi="Calibri" w:eastAsia="Calibri"/>
                <w:color w:val="172033"/>
                <w:sz w:val="21"/>
              </w:rPr>
              <w:t>APA 7 author-date</w:t>
            </w:r>
          </w:p>
        </w:tc>
      </w:tr>
    </w:tbl>
    <w:p>
      <w:pPr>
        <w:spacing w:before="1400" w:after="120"/>
      </w:pPr>
      <w:r>
        <w:rPr>
          <w:rFonts w:ascii="Calibri" w:hAnsi="Calibri" w:eastAsia="Calibri"/>
          <w:b/>
          <w:color w:val="172033"/>
          <w:sz w:val="22"/>
        </w:rPr>
        <w:t>Independent research synthesis</w:t>
      </w:r>
    </w:p>
    <w:p>
      <w:pPr>
        <w:spacing w:after="0"/>
      </w:pPr>
      <w:r>
        <w:rPr>
          <w:rFonts w:ascii="Calibri" w:hAnsi="Calibri" w:eastAsia="Calibri"/>
          <w:color w:val="5D6675"/>
          <w:sz w:val="18"/>
        </w:rPr>
        <w:t>Prepared from academic literature, official records, court opinions, financial disclosures, and audited government data</w:t>
      </w:r>
    </w:p>
    <w:p>
      <w:r>
        <w:br w:type="page"/>
      </w:r>
    </w:p>
    <w:p>
      <w:pPr>
        <w:pStyle w:val="Heading1"/>
      </w:pPr>
      <w:r>
        <w:t>Abstract</w:t>
      </w:r>
    </w:p>
    <w:p>
      <w:pPr>
        <w:pStyle w:val="Abstract"/>
      </w:pPr>
      <w:r>
        <w:t>This paper argues that the conventional definition of political corruption is too narrow to explain the American record since 1960. Bribes, kickbacks, and extortion remain important, but the more durable problem is institutional corruption: arrangements that predictably bend public power toward private benefit without always violating criminal law. A historical analysis from the Bobby Baker and Watergate era through congressional stock trading, emergency bailouts, presidential businesses, crypto assets, tariff refunds, and contemporary ethics gaps shows seven recurring mechanisms. Officials and their families monetize privileged information or access; private money shapes policy agendas; emergencies socialize losses while leaving gains private; legal rules exempt officeholders from ordinary accountability; and courts or legislatures progressively narrow the conduct that anti-corruption law can reach. The paper uses an evidence-graded method that distinguishes adjudicated facts, official records, strong documented inference, contested allegations, and normative judgments. It also adopts the requested substantive premise that trading on material nonpublic government information is insider trading even where criminal prosecution is absent, while preserving the distinction between that premise and a judicial finding against any named person. The record is bipartisan but not symmetrical in every period or mechanism. The central finding is that post-1960 corruption is best understood not as a sequence of isolated scandals but as an evolving political economy of lawful privilege, selective enforcement, and unequal exposure to risk. Reforms must therefore address incentives and institutional design, not merely prosecute spectacular crimes after the fact.</w:t>
      </w:r>
    </w:p>
    <w:p>
      <w:pPr>
        <w:pStyle w:val="Abstract"/>
      </w:pPr>
      <w:r>
        <w:rPr>
          <w:b/>
        </w:rPr>
        <w:t>Keywords:</w:t>
      </w:r>
      <w:r>
        <w:t xml:space="preserve"> political corruption, institutional corruption, Congress, insider trading, executive ethics, regulatory capture, wealth transfer, tariffs, COVID-19, campaign finance</w:t>
      </w:r>
    </w:p>
    <w:p>
      <w:pPr>
        <w:pStyle w:val="Heading1"/>
      </w:pPr>
      <w:r>
        <w:t>1. Introduction</w:t>
      </w:r>
    </w:p>
    <w:p>
      <w:pPr/>
      <w:r>
        <w:t>Political corruption is often imagined as an envelope of cash exchanged for an official favor. That image is legally useful and empirically incomplete. Since 1960, the United States has repeatedly prosecuted bribery, extortion, fraud, and campaign-finance crimes. Yet many of the most consequential uses of public office have occurred in a gray zone where personal enrichment, privileged access, official discretion, and formally lawful conduct overlap. A legislator may trade securities while receiving market-moving briefings. A president may retain a business or digital asset whose value depends on political attention, foreign participation, regulatory choices, or access to the office. A crisis program may preserve employment while directing most of its benefits to owners and creditors. A tariff may be paid by importers, passed through to households, and later refunded to firms without an automatic mechanism to compensate the consumers who bore the higher prices. An elected official may remain salaried through a long absence that would exhaust the protected leave available to many constituents.</w:t>
      </w:r>
    </w:p>
    <w:p>
      <w:pPr/>
      <w:r>
        <w:t>These examples do not all satisfy the same criminal statute. They should not be collapsed into a single accusation. They do, however, share a structure: public institutions allocate information, immunity, money, time, or coercive power on terms that protect insiders more effectively than ordinary people. Dennis Thompson's theory of institutional corruption is useful precisely because it moves analysis away from bad character alone and toward dependencies and incentives that systematically distort an institution's purpose (Thompson, 2018). Lawrence Lessig similarly describes institutional corruption as a systemic and strategic influence that weakens institutional effectiveness or public trust even when no individual act is a bribe (Lessig, 2013).</w:t>
      </w:r>
    </w:p>
    <w:p>
      <w:pPr/>
      <w:r>
        <w:t>This paper asks three questions. First, how did American political corruption change from 1960 through August 2026? Second, which mechanisms connect apparently different episodes, including Watergate, ABSCAM, the Keating Five, the 2008 rescue, congressional trading, pandemic relief, Trump-affiliated businesses and crypto, and tariff refunds? Third, what reforms would reach the actual structure of the problem rather than only its most theatrical manifestations?</w:t>
      </w:r>
    </w:p>
    <w:p>
      <w:pPr/>
      <w:r>
        <w:t>The thesis is that corruption since 1960 has evolved along two tracks. The first is familiar illegality: bribery, kickbacks, extortion, obstruction, covert operations, and fraud. The second is institutionalized privilege: legal or weakly enforced arrangements that permit officeholders, families, donors, contractors, regulated firms, and financial intermediaries to convert public position into private advantage. The second track is subtler, more scalable, and often more damaging because it can survive exposure. Its durability comes from the fact that the people who benefit from the rules often help write, interpret, or enforce them.</w:t>
      </w:r>
    </w:p>
    <w:p>
      <w:pPr>
        <w:pStyle w:val="Heading1"/>
      </w:pPr>
      <w:r>
        <w:t>2. Concepts and Evidence</w:t>
      </w:r>
    </w:p>
    <w:p>
      <w:pPr>
        <w:pStyle w:val="Heading2"/>
      </w:pPr>
      <w:r>
        <w:t>2.1 Individual, institutional, and systemic corruption</w:t>
      </w:r>
    </w:p>
    <w:p>
      <w:pPr/>
      <w:r>
        <w:t>Three concepts organize the analysis.</w:t>
      </w:r>
    </w:p>
    <w:p>
      <w:pPr/>
      <w:r>
        <w:rPr>
          <w:b/>
        </w:rPr>
        <w:t>Individual corruption</w:t>
      </w:r>
      <w:r>
        <w:t xml:space="preserve"> is the intentional misuse of official power for personal or associated private gain. Bribery, kickbacks, extortion, embezzlement, and sale of official acts are core examples. The convictions of officials in ABSCAM, Representative Randy Cunningham's admission that he accepted at least $2.4 million in bribes, and Senator Robert Menendez's conviction for bribery and acting as a foreign agent fit this category (Federal Bureau of Investigation [FBI], n.d.-a; U.S. Department of Justice [DOJ], 2006a, 2025).</w:t>
      </w:r>
    </w:p>
    <w:p>
      <w:pPr/>
      <w:r>
        <w:rPr>
          <w:b/>
        </w:rPr>
        <w:t>Institutional corruption</w:t>
      </w:r>
      <w:r>
        <w:t xml:space="preserve"> exists when lawful dependencies, incentives, or internal rules predictably deflect an institution from its public purpose. Campaign finance can make elected officials dependent on a narrow donor class. A weak disclosure regime can normalize conflicts without curing them. A self-policed ethics process can impose only token costs for late stock reports. An elected office with no meaningful attendance or capacity standard can protect incumbency while constituents lose effective representation.</w:t>
      </w:r>
    </w:p>
    <w:p>
      <w:pPr/>
      <w:r>
        <w:rPr>
          <w:b/>
        </w:rPr>
        <w:t>Systemic corruption or state capture</w:t>
      </w:r>
      <w:r>
        <w:t xml:space="preserve"> occurs when concentrated interests shape the rules of markets and government for durable advantage. Regulatory capture, the revolving door, privatized emergency relief, and the use of public policy to raise asset values are examples. GAO defines regulatory capture as a condition in which regulators act in the interest of the industry rather than the public, and identifies information asymmetry, cultural alignment, funding dependence, and career incentives as risks (U.S. Government Accountability Office [GAO], 2018, 2019a).</w:t>
      </w:r>
    </w:p>
    <w:p>
      <w:pPr/>
      <w:r>
        <w:t>These categories overlap. A lawful campaign contribution can create institutional dependence without proving a quid pro quo. A family business may receive foreign money without proof that a policy was sold. A suspicious stock trade may be ethically corrupt and substantively based on privileged information while remaining difficult to prosecute under securities law. The analytical error is to assume that conduct is publicly harmless merely because prosecutors cannot prove every criminal element beyond a reasonable doubt.</w:t>
      </w:r>
    </w:p>
    <w:p>
      <w:pPr>
        <w:pStyle w:val="Heading2"/>
      </w:pPr>
      <w:r>
        <w:t>2.2 Evidence grades</w:t>
      </w:r>
    </w:p>
    <w:p>
      <w:pPr/>
      <w:r>
        <w:t>The paper uses five evidence grades:</w:t>
      </w:r>
    </w:p>
    <w:p>
      <w:pPr>
        <w:pStyle w:val="ListNumber"/>
        <w:numPr>
          <w:ilvl w:val="0"/>
          <w:numId w:val="10"/>
        </w:numPr>
      </w:pPr>
      <w:r>
        <w:rPr>
          <w:b/>
        </w:rPr>
        <w:t>Adjudicated fact:</w:t>
      </w:r>
      <w:r>
        <w:t xml:space="preserve"> a conviction, plea, judicial finding, formal censure, or undisputed official determination.</w:t>
      </w:r>
    </w:p>
    <w:p>
      <w:pPr>
        <w:pStyle w:val="ListNumber"/>
        <w:numPr>
          <w:ilvl w:val="0"/>
          <w:numId w:val="10"/>
        </w:numPr>
      </w:pPr>
      <w:r>
        <w:rPr>
          <w:b/>
        </w:rPr>
        <w:t>Officially documented fact:</w:t>
      </w:r>
      <w:r>
        <w:t xml:space="preserve"> a disclosure, government audit, financial filing, vote record, payment ledger, or other authenticated record whose existence is not reasonably disputed.</w:t>
      </w:r>
    </w:p>
    <w:p>
      <w:pPr>
        <w:pStyle w:val="ListNumber"/>
        <w:numPr>
          <w:ilvl w:val="0"/>
          <w:numId w:val="10"/>
        </w:numPr>
      </w:pPr>
      <w:r>
        <w:rPr>
          <w:b/>
        </w:rPr>
        <w:t>Strong inference:</w:t>
      </w:r>
      <w:r>
        <w:t xml:space="preserve"> a conclusion supported by timing, financial structure, policy alignment, and multiple records, but not established by a criminal judgment.</w:t>
      </w:r>
    </w:p>
    <w:p>
      <w:pPr>
        <w:pStyle w:val="ListNumber"/>
        <w:numPr>
          <w:ilvl w:val="0"/>
          <w:numId w:val="10"/>
        </w:numPr>
      </w:pPr>
      <w:r>
        <w:rPr>
          <w:b/>
        </w:rPr>
        <w:t>Contested allegation:</w:t>
      </w:r>
      <w:r>
        <w:t xml:space="preserve"> a claim asserted by an interested party or investigative body for which material facts or causal links remain disputed.</w:t>
      </w:r>
    </w:p>
    <w:p>
      <w:pPr>
        <w:pStyle w:val="ListNumber"/>
        <w:numPr>
          <w:ilvl w:val="0"/>
          <w:numId w:val="10"/>
        </w:numPr>
      </w:pPr>
      <w:r>
        <w:rPr>
          <w:b/>
        </w:rPr>
        <w:t>Normative judgment:</w:t>
      </w:r>
      <w:r>
        <w:t xml:space="preserve"> an evaluation of fairness, democratic legitimacy, or institutional purpose.</w:t>
      </w:r>
    </w:p>
    <w:p>
      <w:pPr/>
      <w:r>
        <w:t>This grading matters because corruption research is vulnerable to partisan overclaiming. The paper includes officials from both major parties, but bipartisanship is not used as a quota and does not imply that every mechanism is evenly distributed. Evidence, magnitude, and institutional consequence determine emphasis.</w:t>
      </w:r>
    </w:p>
    <w:p>
      <w:pPr>
        <w:pStyle w:val="Heading2"/>
      </w:pPr>
      <w:r>
        <w:t>2.3 The congressional trading stipulation</w:t>
      </w:r>
    </w:p>
    <w:p>
      <w:pPr/>
      <w:r>
        <w:t>The requested premise is adopted in a precise form: when a member of Congress or a member's household trades an affected security while using material nonpublic information obtained through government service, this paper classifies the conduct as insider trading, whether or not prosecutors have charged it. For the normative analysis, the paper further accepts that some congressional trades, including trades reported by the Pelosi household, have used privileged political information.</w:t>
      </w:r>
    </w:p>
    <w:p>
      <w:pPr/>
      <w:r>
        <w:t>That stipulation does not manufacture evidence that a particular disclosed trade contained each legal element of a criminal offense. Public records establish that Nancy Pelosi has reported large securities transactions by her spouse, Paul Pelosi, including options and shares in technology companies and a 2024 partial sale of Visa stock in the $500,001 to $1,000,000 reporting range (Clerk of the U.S. House of Representatives, 2024). Public evidence does not establish that Nancy Pelosi directed every trade, transmitted material nonpublic information, or has been adjudicated liable for insider trading. The paper therefore treats the Pelosi pattern as a paradigmatic conflict and, under the stipulated premise, an instance of substantive insider trading risk and privileged-market corruption. It does not falsely describe a stipulation as a court judgment.</w:t>
      </w:r>
    </w:p>
    <w:p>
      <w:pPr>
        <w:pStyle w:val="Heading2"/>
      </w:pPr>
      <w:r>
        <w:t>2.4 Limits</w:t>
      </w:r>
    </w:p>
    <w:p>
      <w:pPr/>
      <w:r>
        <w:t>This is an analytical history, not a comprehensive catalog of every corrupt act since 1960. It emphasizes federal institutions because their decisions create national markets and enforcement rules. State and local cases appear when they reveal a recurring mechanism. The paper also distinguishes distributive policy from corruption. A tax cut, bailout, tariff, or business subsidy is not corrupt merely because it benefits wealthy people. It becomes relevant when information, access, conflicts, opacity, selective relief, or self-protective rulemaking displaces a defensible public process.</w:t>
      </w:r>
    </w:p>
    <w:p>
      <w:pPr>
        <w:pStyle w:val="Heading1"/>
      </w:pPr>
      <w:r>
        <w:t>3. Historical Development, 1960-2008</w:t>
      </w:r>
    </w:p>
    <w:p>
      <w:pPr>
        <w:pStyle w:val="Heading2"/>
      </w:pPr>
      <w:r>
        <w:t>3.1 The 1960s and 1970s: exposure of hidden government</w:t>
      </w:r>
    </w:p>
    <w:p>
      <w:pPr/>
      <w:r>
        <w:t>The early 1960s already contained the architecture of later scandals. The Bobby Baker investigation examined the outside business activities and influence network of a former secretary to the Senate majority leader. The affair helped produce the Senate Select Committee on Standards and Conduct in 1964, an institutional acknowledgement that informal access, financial entanglement, and legislative power could not be governed solely by personal honor (U.S. Senate Select Committee on Ethics, 2008).</w:t>
      </w:r>
    </w:p>
    <w:p>
      <w:pPr/>
      <w:r>
        <w:t>Vice President Spiro Agnew's case demonstrated a more direct form. Agnew resigned in 1973 and pleaded no contest to federal tax evasion after an investigation documented a long-running system of payments connected to public contracts during his service in Maryland and the vice presidency (DOJ, 2019). His fall was nearly simultaneous with Watergate, which exposed burglary, campaign finance abuses, political espionage, obstruction, and the use of executive agencies against political adversaries. The Senate Watergate Committee's televised investigation and the resulting resignation of President Richard Nixon established that abuse of power could be corrupt even when personal financial enrichment was not the primary objective (U.S. Senate Historical Office, n.d.-a).</w:t>
      </w:r>
    </w:p>
    <w:p>
      <w:pPr/>
      <w:r>
        <w:t>The Church Committee extended that insight. Its investigations documented domestic surveillance, covert action, and intelligence abuses, leading to the permanent Senate Select Committee on Intelligence in 1976 (U.S. Senate Historical Office, n.d.-b). These episodes expanded the concept of corruption beyond theft. When public agencies secretly target lawful political activity, evade oversight, or convert national-security authority into partisan power, the corrupted object is constitutional government itself.</w:t>
      </w:r>
    </w:p>
    <w:p>
      <w:pPr/>
      <w:r>
        <w:t>The post-Watergate response was significant: campaign-finance rules, inspectors general, financial disclosure, the Ethics in Government Act, and stronger congressional ethics institutions. Yet the response also produced a recurring cycle. Scandal triggers rules; regulated actors learn the rules; courts narrow the rules; and the system returns in a more formally compliant shape.</w:t>
      </w:r>
    </w:p>
    <w:p>
      <w:pPr/>
      <w:r>
        <w:t>Senator Herman Talmadge's 1979 censure illustrates the boundary between individual and institutional failure. The Senate found financial misconduct and improper campaign reimbursements serious enough for censure, but expulsion remained rare (U.S. Senate Historical Office, n.d.-c). The sanction exposed wrongdoing without threatening the body's preference for self-government.</w:t>
      </w:r>
    </w:p>
    <w:p>
      <w:pPr>
        <w:pStyle w:val="Heading2"/>
      </w:pPr>
      <w:r>
        <w:t>3.2 The 1980s: sting operations, covert policy, and savings-and-loan influence</w:t>
      </w:r>
    </w:p>
    <w:p>
      <w:pPr/>
      <w:r>
        <w:t>ABSCAM was the decade's clearest bribery case. An FBI undercover operation resulted in convictions of one senator, six representatives, and other public officials who accepted or solicited payments in exchange for official assistance (FBI, n.d.-a). The operation showed that straightforward bribery remained real, but it also encouraged a misleading comfort: corruption looked containable when it arrived as cash on videotape.</w:t>
      </w:r>
    </w:p>
    <w:p>
      <w:pPr/>
      <w:r>
        <w:t>Iran-Contra revealed the deeper problem of executive networks operating outside statutory controls. Officials facilitated arms sales and support for the Nicaraguan Contras despite congressional restrictions, then concealed or misrepresented aspects of the program. President George H. W. Bush's 1992 pardons of former Defense Secretary Caspar Weinberger and five other Iran-Contra defendants were constitutionally valid. They were also institutionally self-protective because clemency foreclosed or complicated accountability for conduct involving the administration in which Bush had served as vice president. The episode illustrates a recurring design defect: the pardon power can lawfully terminate proceedings that could expose the executive branch's own network.</w:t>
      </w:r>
    </w:p>
    <w:p>
      <w:pPr/>
      <w:r>
        <w:t>The Keating Five scandal connected campaign money, constituent service, and regulatory pressure. Five senators met with regulators after receiving campaign contributions or other support associated with savings-and-loan executive Charles Keating. The Senate Ethics Committee found varying degrees of improper conduct and poor judgment. The important point was not a proven purchase price for a vote. It was that donor access could be translated into coordinated pressure on regulators while remaining close to ordinary political practice (U.S. Senate Select Committee on Ethics, 2003).</w:t>
      </w:r>
    </w:p>
    <w:p>
      <w:pPr>
        <w:pStyle w:val="Heading2"/>
      </w:pPr>
      <w:r>
        <w:t>3.3 The 1990s through 2008: access markets and the revolving door</w:t>
      </w:r>
    </w:p>
    <w:p>
      <w:pPr/>
      <w:r>
        <w:t>By the 1990s and 2000s, corruption increasingly operated through professionalized access. Lobbying firms, political consultants, think tanks, trade associations, and post-government employment created a market for relationships and procedural knowledge. Federal post-employment law restricts some representations, but the Lobbying Disclosure Act and Foreign Agents Registration Act are primarily disclosure systems, not broad prohibitions. GAO found only 26 reported federal revolving-door prosecutions from 1990 through 2008 under the relevant conflict statute, none involving the foreign-interest restriction for the trade officials in its study (GAO, 2010).</w:t>
      </w:r>
    </w:p>
    <w:p>
      <w:pPr/>
      <w:r>
        <w:t>The Jack Abramoff network made this access market visible. Abramoff pleaded guilty in 2006 to conspiracy, fraud, and tax evasion in a scheme involving gifts, trips, lobbying fees, and official action. Representative Bob Ney later pleaded guilty in related conduct (DOJ, 2006b). Representative Randy Cunningham received an eight-year sentence after admitting at least $2.4 million in bribes connected to defense contracts (DOJ, 2006a). Representative William Jefferson was convicted after an investigation that famously recovered $90,000 in cash from a freezer (FBI, n.d.-b). Illinois Governor Rod Blagojevich was convicted in a scheme that included attempting to monetize the appointment to Barack Obama's vacated Senate seat (DOJ, 2011).</w:t>
      </w:r>
    </w:p>
    <w:p>
      <w:pPr/>
      <w:r>
        <w:t>These were real prosecutions, not merely appearances. Yet they occurred inside a broader legal access economy. A lobbyist could not pay a legislator personally for a vote, but donors, clients, former officials, and leadership political committees could finance the ecosystem around the legislator. The distinction between a bribe and access-dependent governance became the central fault line of modern corruption law.</w:t>
      </w:r>
    </w:p>
    <w:p>
      <w:pPr>
        <w:pStyle w:val="Heading2"/>
      </w:pPr>
      <w:r>
        <w:t>3.4 The 2008 financial rescue: socialized risk and asymmetric accountability</w:t>
      </w:r>
    </w:p>
    <w:p>
      <w:pPr/>
      <w:r>
        <w:t>The financial crisis produced a distributive pattern that would recur in 2020. Congress authorized up to $700 billion for the Troubled Asset Relief Program. Capital moved rapidly to stabilize financial institutions. GAO records include $40 billion in additional capital for Citigroup and Bank of America and $68 billion for AIG, apart from other bank programs (GAO, 2018b). Homeowner relief was slower, narrower, and operationally dependent on mortgage servicers. Treasury eventually disbursed about $30.85 billion through three TARP housing programs, far below the scale of the original rescue authority (GAO, 2020a).</w:t>
      </w:r>
    </w:p>
    <w:p>
      <w:pPr/>
      <w:r>
        <w:t>The rescue likely prevented a more severe collapse, and much of the financial assistance was repaid. Those facts matter. The corruption concern lies in asymmetry, not in the existence of intervention. Financial institutions whose risk-taking threatened the system received immediate public backing; homeowners faced documentation failures, servicer discretion, foreclosure, and weaker relief. Public power protected balance sheets first and households second. When the same professional networks move between Treasury, the Federal Reserve, major banks, and law firms, the resulting policy may be sincerely motivated and still reflect institutional capture.</w:t>
      </w:r>
    </w:p>
    <w:p>
      <w:pPr>
        <w:pStyle w:val="Heading1"/>
      </w:pPr>
      <w:r>
        <w:t>4. The Legalization and Narrowing of Corruption, 2009-2020</w:t>
      </w:r>
    </w:p>
    <w:p>
      <w:pPr>
        <w:pStyle w:val="Heading2"/>
      </w:pPr>
      <w:r>
        <w:t xml:space="preserve">4.1 Campaign money after </w:t>
      </w:r>
      <w:r>
        <w:rPr>
          <w:i/>
        </w:rPr>
        <w:t>Citizens United</w:t>
      </w:r>
    </w:p>
    <w:p>
      <w:pPr/>
      <w:r>
        <w:t xml:space="preserve">The Supreme Court's 2010 decision in </w:t>
      </w:r>
      <w:r>
        <w:rPr>
          <w:i/>
        </w:rPr>
        <w:t>Citizens United v. Federal Election Commission</w:t>
      </w:r>
      <w:r>
        <w:t xml:space="preserve"> invalidated restrictions on independent corporate political expenditures. The subsequent super PAC structure permits committees that make only independent expenditures to accept unlimited contributions from individuals, corporations, labor organizations, and other political committees (Federal Election Commission [FEC], n.d.-a, n.d.-b). Disclosure remains incomplete where nonprofit entities or pass-through organizations obscure the original source.</w:t>
      </w:r>
    </w:p>
    <w:p>
      <w:pPr/>
      <w:r>
        <w:t>The constitutional argument is that independent advocacy is protected speech and is not coordinated with candidates. The institutional-corruption objection is that unlimited spending purchases agenda-setting power, access, signaling, and deterrence even without an explicit exchange. Gilens and Page's analysis of 1,779 policy issues found that economic elites and organized business interests had substantial independent effects on U.S. policy, while average citizens had little or no independent influence after preferences were modeled together (Gilens &amp; Page, 2014). The finding does not prove that each policy was bought. It shows a system whose responsiveness is structurally unequal.</w:t>
      </w:r>
    </w:p>
    <w:p>
      <w:pPr/>
      <w:r>
        <w:t>The legal perimeter has continued to contract. In June 2026 the Supreme Court invalidated limits on coordinated spending by political parties, further weakening the practical boundary between party money and candidate support (Associated Press [AP], 2026a). In this environment, corruption can be fully disclosed and still corrupt institutional dependence.</w:t>
      </w:r>
    </w:p>
    <w:p>
      <w:pPr>
        <w:pStyle w:val="Heading2"/>
      </w:pPr>
      <w:r>
        <w:t>4.2 The STOCK Act and the persistence of congressional trading</w:t>
      </w:r>
    </w:p>
    <w:p>
      <w:pPr/>
      <w:r>
        <w:t>Congress enacted the STOCK Act in 2012. The law expressly affirmed that members and employees of Congress are subject to insider-trading prohibitions and required periodic disclosure of many transactions above $1,000, generally within 45 days (Congressional Research Service [CRS], 2020). Its passage was an admission that congressional access to nonpublic information creates a distinct market-integrity problem.</w:t>
      </w:r>
    </w:p>
    <w:p>
      <w:pPr/>
      <w:r>
        <w:t>Disclosure did not eliminate the conflict. Forms report value ranges rather than exact amounts, can be late, are difficult to aggregate, and often cover spousal or dependent transactions. A common late-filing penalty is only $200, a trivial price relative to a large position (Campaign Legal Center, 2022, 2023). Enforcement remains fragmented among congressional ethics bodies, the Securities and Exchange Commission, and DOJ.</w:t>
      </w:r>
    </w:p>
    <w:p>
      <w:pPr/>
      <w:r>
        <w:t>The empirical literature is mixed, and that disagreement is itself instructive. An early study found abnormal returns in senators' common-stock portfolios, and a later House study reported significant abnormal performance (Ziobrowski et al., 2004, 2011). Eggers and Hainmueller (2014), using a different design and period, found that congressional portfolios underperformed market benchmarks and did not support a general congressional advantage. More recent research finds that the relevant signal may not be aggregate outperformance but trades aligned with committee jurisdiction, legislative activity, or political information (Aiken et al., 2023; Hanousek et al., 2021).</w:t>
      </w:r>
    </w:p>
    <w:p>
      <w:pPr/>
      <w:r>
        <w:t>No finding that the average member underperforms disproves insider trading in particular transactions. Insider trading is event-specific. A portfolio can contain poorly timed trades and still include a trade made on privileged information. Conversely, a well-timed trade is not by itself proof of material nonpublic information. This is why an outright ban on individual securities is superior to trying to infer intent from every transaction.</w:t>
      </w:r>
    </w:p>
    <w:p>
      <w:pPr/>
      <w:r>
        <w:t>Nancy and Paul Pelosi became the public symbol of the problem because of the scale, sophistication, and timing of reported technology trades and Nancy Pelosi's former leadership role. The symbolism can be partisan and selective, but the conflict is real. Paul Pelosi's investment decisions are disclosed on Nancy Pelosi's official reports because spousal holdings create a household financial interest. Under the paper's stipulated premise, use of privileged government information by that household is substantive insider trading. Under the public evidentiary record, however, no court has found that Nancy Pelosi supplied such information for a named trade. Both statements can be true.</w:t>
      </w:r>
    </w:p>
    <w:p>
      <w:pPr/>
      <w:r>
        <w:t>The problem is congressional, not uniquely Pelosi's. Members across parties have traded in companies affected by committees, defense policy, health regulation, pandemic response, and technology subsidies. As of 2026 Congress still had not enacted a comprehensive ban. A House measure passed in July 2026 was criticized because it permitted members to retain existing holdings rather than requiring divestment or a qualified blind trust (AP, 2026b). The persistence of a conflict that Congress could end by statute is institutional self-dealing.</w:t>
      </w:r>
    </w:p>
    <w:p>
      <w:pPr>
        <w:pStyle w:val="Heading2"/>
      </w:pPr>
      <w:r>
        <w:t>4.3 Judicial narrowing of public-corruption law</w:t>
      </w:r>
    </w:p>
    <w:p>
      <w:pPr/>
      <w:r>
        <w:t>The Supreme Court has repeatedly insisted on a narrow and administrable definition of corruption. That concern protects political participation and prevents vague criminal liability. It also makes sophisticated influence easier to structure lawfully.</w:t>
      </w:r>
    </w:p>
    <w:p>
      <w:pPr/>
      <w:r>
        <w:t xml:space="preserve">In </w:t>
      </w:r>
      <w:r>
        <w:rPr>
          <w:i/>
        </w:rPr>
        <w:t>McDonnell v. United States</w:t>
      </w:r>
      <w:r>
        <w:t xml:space="preserve"> (2016), the Court narrowed the meaning of an "official act" in federal bribery law. In </w:t>
      </w:r>
      <w:r>
        <w:rPr>
          <w:i/>
        </w:rPr>
        <w:t>Kelly v. United States</w:t>
      </w:r>
      <w:r>
        <w:t xml:space="preserve"> (2020), it rejected federal fraud convictions arising from the Bridgegate lane-closure scheme because the object was regulatory power rather than obtaining money or property. In </w:t>
      </w:r>
      <w:r>
        <w:rPr>
          <w:i/>
        </w:rPr>
        <w:t>Percoco v. United States</w:t>
      </w:r>
      <w:r>
        <w:t xml:space="preserve"> and </w:t>
      </w:r>
      <w:r>
        <w:rPr>
          <w:i/>
        </w:rPr>
        <w:t>Ciminelli v. United States</w:t>
      </w:r>
      <w:r>
        <w:t xml:space="preserve"> (2023), the Court further constrained honest-services and property-fraud theories. In </w:t>
      </w:r>
      <w:r>
        <w:rPr>
          <w:i/>
        </w:rPr>
        <w:t>Snyder v. United States</w:t>
      </w:r>
      <w:r>
        <w:t xml:space="preserve"> (2024), it held that the federal program-bribery statute does not cover gratuities paid after an official act absent the required quid pro quo (Supreme Court of the United States, 2024; CRS, 2026a).</w:t>
      </w:r>
    </w:p>
    <w:p>
      <w:pPr/>
      <w:r>
        <w:t>These decisions do not legalize bribery. They require prosecutors to prove a more specific exchange, official act, duty, or property interest. The systemic effect is to separate prosecutable corruption from the broader forms of access, gratitude, relationship maintenance, and policy dependence through which influence commonly operates.</w:t>
      </w:r>
    </w:p>
    <w:p>
      <w:pPr>
        <w:pStyle w:val="Heading1"/>
      </w:pPr>
      <w:r>
        <w:t>5. Crisis Wealth Transfers</w:t>
      </w:r>
    </w:p>
    <w:p>
      <w:pPr>
        <w:pStyle w:val="Heading2"/>
      </w:pPr>
      <w:r>
        <w:t>5.1 The COVID-19 policy package</w:t>
      </w:r>
    </w:p>
    <w:p>
      <w:pPr/>
      <w:r>
        <w:t>The 2020 pandemic required extraordinary public spending. Direct payments, enhanced unemployment insurance, nutrition assistance, Federal Reserve facilities, business support, and public-health spending prevented mass deprivation and economic collapse. CBO found that pandemic-related transfers reduced inequality in after-tax-and-transfer income in 2020 even as inequality before transfers and taxes was high (CBO, 2023). A serious analysis must therefore reject the claim that every pandemic dollar was a transfer to the wealthy.</w:t>
      </w:r>
    </w:p>
    <w:p>
      <w:pPr/>
      <w:r>
        <w:t>The Paycheck Protection Program nonetheless illustrates how emergency design can privatize public money. Approximately $800 billion in forgivable loans flowed through private lenders to businesses. Autor and colleagues estimated that only 23 to 34 percent of PPP dollars accrued to workers who otherwise would have lost jobs. The remaining 66 to 77 percent accrued to business owners, shareholders, creditors, and suppliers, making the program highly regressive relative to more targeted wage replacement (Autor et al., 2022).</w:t>
      </w:r>
    </w:p>
    <w:p>
      <w:pPr/>
      <w:r>
        <w:t>PPP combined speed, self-certification, weak initial verification, lender incentives, and forgiveness. GAO repeatedly found shortcomings in fraud-risk management and data quality, while federal investigators later pursued extensive fraud (GAO, 2021, 2023a). Political connections and professional advisors affected access during the crucial early rounds. Small firms without established banks often waited while larger or better-connected businesses secured funds.</w:t>
      </w:r>
    </w:p>
    <w:p>
      <w:pPr/>
      <w:r>
        <w:t>This is not simply a story of thieves exploiting a program. It is a story of distributive design. Government chose to preserve employment by subsidizing firm balance sheets and trusting owners to transmit benefits to workers. That structure made owners the gatekeepers and residual beneficiaries. The program's public purpose was legitimate; its incidence revealed whose institutions were prepared to receive aid.</w:t>
      </w:r>
    </w:p>
    <w:p>
      <w:pPr>
        <w:pStyle w:val="Heading2"/>
      </w:pPr>
      <w:r>
        <w:t>5.2 Asset inflation and the ownership divide</w:t>
      </w:r>
    </w:p>
    <w:p>
      <w:pPr/>
      <w:r>
        <w:t>Monetary and fiscal stabilization also supported asset prices. Households owning equities and homes recovered quickly, while many renters and low-wage workers remained exposed to job loss, illness, and eviction risk. Federal Reserve analysis found that wealth gains during the early pandemic were strongly shaped by preexisting asset ownership, though the distribution changed across asset classes and time (Batty et al., 2021). Later CBO analysis estimated that the top 1 percent's share of wealth remained around 27 percent during the pandemic rather than increasing without interruption (CBO, 2024a). These findings caution against a simplistic claim that one policy alone caused a single permanent wealth transfer.</w:t>
      </w:r>
    </w:p>
    <w:p>
      <w:pPr/>
      <w:r>
        <w:t>The stronger conclusion is institutional: emergency stabilization operates through existing ownership. When the state raises the value of financial assets, the first and largest gains flow to people who already own them. When direct household programs expire faster than asset support or business forgiveness, the distributional result can outlast the emergency even if measured inequality moves in more than one direction.</w:t>
      </w:r>
    </w:p>
    <w:p>
      <w:pPr>
        <w:pStyle w:val="Heading1"/>
      </w:pPr>
      <w:r>
        <w:t>6. The Presidency as a Private Monetization Platform</w:t>
      </w:r>
    </w:p>
    <w:p>
      <w:pPr>
        <w:pStyle w:val="Heading2"/>
      </w:pPr>
      <w:r>
        <w:t>6.1 The presidential conflict-of-interest gap</w:t>
      </w:r>
    </w:p>
    <w:p>
      <w:pPr/>
      <w:r>
        <w:t>The primary federal criminal conflict-of-interest statute, 18 U.S.C. section 208, does not apply to the president or vice president. OGE and DOJ have long recognized that exclusion, while presidents historically used divestment, blind trusts, recusals by subordinates, or other practices to reduce conflicts (CRS, 2016; Office of Government Ethics [OGE], 2017). The Constitution's Foreign Emoluments Clause supplies a separate constraint, but enforcement is procedurally difficult and many cases can become moot when a president leaves office (CRS, 2021).</w:t>
      </w:r>
    </w:p>
    <w:p>
      <w:pPr/>
      <w:r>
        <w:t>Donald Trump did not fully divest from the Trump Organization when he entered office in 2017. A 2024 House Oversight minority staff report, based on records from his former accounting firm and covering only four entities over limited periods, documented at least $7.8 million in payments from at least 20 foreign governments or government-linked entities to Trump businesses during his first presidency (U.S. House Committee on Oversight and Accountability Democratic Staff, 2024). The report's conclusion that these were unconstitutional emoluments is a legal position advanced by committee investigators, not a merits judgment from the Supreme Court. The payments themselves are documented.</w:t>
      </w:r>
    </w:p>
    <w:p>
      <w:pPr/>
      <w:r>
        <w:t>The corruption mechanism is not limited to a proven exchange. Foreign officials, lobbyists, companies, and political groups could spend money at properties whose ultimate beneficiary was the president. The transaction purchased lodging or events, but it also created a visible financial relationship with the officeholder. That dual function is institutional corruption even when no policy concession can be traced to a specific hotel bill.</w:t>
      </w:r>
    </w:p>
    <w:p>
      <w:pPr>
        <w:pStyle w:val="Heading2"/>
      </w:pPr>
      <w:r>
        <w:t>6.2 Crypto, memecoins, and direct financial access</w:t>
      </w:r>
    </w:p>
    <w:p>
      <w:pPr/>
      <w:r>
        <w:t>The second Trump presidency expanded the conflict problem from physical properties to digital assets. Trump's 2026 OGE disclosure reports extensive interests, including Trump Media shares held in a revocable trust of which he is the sole beneficiary, as well as income connected to crypto ventures (OGE, 2026a). AP's analysis of the filing estimated nearly $1.2 billion in 2025 income from crypto-related ventures, including more than $500 million associated with World Liberty Financial and more than $600 million connected to CIC Digital and memecoin-related activity (AP, 2026c, 2026d).</w:t>
      </w:r>
    </w:p>
    <w:p>
      <w:pPr/>
      <w:r>
        <w:t>Digital assets intensify ethics risk for four reasons. First, buyers can be pseudonymous or routed through intermediaries. Second, a token's price can respond instantly to official statements, access promises, regulatory actions, or presidential visibility. Third, foreign persons can purchase without the physical presence required at a hotel. Fourth, the issuer or affiliated entity may retain a large supply, so political attention can create paper wealth without a conventional payment contract.</w:t>
      </w:r>
    </w:p>
    <w:p>
      <w:pPr/>
      <w:r>
        <w:t>The $TRUMP memecoin contest offered a private dinner to top token holders. Senators requested ethics and banking investigations, emphasizing that the arrangement could allow foreign or undisclosed purchasers to buy an asset linked to presidential access (Warren et al., 2025; Schiff &amp; Warren, 2025). A dinner is not itself a sale of policy. Yet tying access to the president to the purchase and retention of a family-linked speculative asset collapses the distinction between political attention and private revenue.</w:t>
      </w:r>
    </w:p>
    <w:p>
      <w:pPr/>
      <w:r>
        <w:t>World Liberty Financial raises a parallel concern. A foreign-government-linked fund's use of a World Liberty stablecoin in a large transaction can generate fees, liquidity, credibility, or reserve demand for a business associated with the president's family. Proof of a policy bargain would be necessary for a bribery conviction. It is not necessary to conclude that the arrangement creates a severe foreign-influence channel.</w:t>
      </w:r>
    </w:p>
    <w:p>
      <w:pPr>
        <w:pStyle w:val="Heading2"/>
      </w:pPr>
      <w:r>
        <w:t>6.3 Stocks, bonds, and policy-sensitive holdings</w:t>
      </w:r>
    </w:p>
    <w:p>
      <w:pPr/>
      <w:r>
        <w:t>Trump's 2026 disclosures also reported thousands of securities transactions. AP identified more than 3,600 stock trades during the first quarter of 2026 with a disclosed value exceeding $100 million, including purchases in companies positioned to be affected by federal contracts, technology policy, defense priorities, or regulation. The same reporting described more than $300 million in bond purchases while the administration publicly pressed for lower interest rates (AP, 2026e).</w:t>
      </w:r>
    </w:p>
    <w:p>
      <w:pPr/>
      <w:r>
        <w:t>The disclosure ranges, asset managers, and timing do not by themselves establish that Trump personally selected each trade or used nonpublic information. The institutional problem is simpler: the president can affect market sectors, interest rates, procurement, antitrust enforcement, sanctions, and digital-asset regulation while retaining a portfolio exposed to those actions. Disclosure after the fact does not neutralize the incentive.</w:t>
      </w:r>
    </w:p>
    <w:p>
      <w:pPr/>
      <w:r>
        <w:t>Trump Media is even more directly linked to political identity. OGE records show 114.75 million shares in a revocable trust for Trump's benefit (OGE, 2026a). The market value of that stake can reflect expectations about access, political power, regulatory treatment, and the president's personal following. A conventional blind trust would separate an official from knowledge and control of underlying assets. A trust containing a single identity-linked company does not accomplish that function merely because a relative serves as trustee.</w:t>
      </w:r>
    </w:p>
    <w:p>
      <w:pPr>
        <w:pStyle w:val="Heading2"/>
      </w:pPr>
      <w:r>
        <w:t>6.4 Associates and family members</w:t>
      </w:r>
    </w:p>
    <w:p>
      <w:pPr/>
      <w:r>
        <w:t>The post-office conduct of Jared Kushner shows how influence can be monetized after government service. Six months after leaving the White House, Kushner's Affinity Partners secured a $2 billion commitment from Saudi Arabia's Public Investment Fund. A Senate Finance Committee investigation reported that the Saudi fund paid a 1.25 percent annual management fee on the commitment and that Affinity had collected about $87 million in Saudi fees through 2024. The committee also reported that 99 percent of Affinity's assets under management were attributable to non-U.S. persons and that the funds had generated no investment return as of July 2024 (U.S. Senate Committee on Finance, 2024a, 2024b).</w:t>
      </w:r>
    </w:p>
    <w:p>
      <w:pPr/>
      <w:r>
        <w:t>Those facts support a strong conflict and influence inference, not a criminal finding that Saudi officials purchased a specific Trump-administration policy. The arrangement demonstrates the weakness of post-employment rules when investment management can deliver foreign-government fees while avoiding the transparency expected of explicit consulting or foreign-agent work.</w:t>
      </w:r>
    </w:p>
    <w:p>
      <w:pPr/>
      <w:r>
        <w:t>For balance, influence concerns also arose around Hunter Biden's foreign business relationships and the access value of the Biden name. Witnesses described Hunter Biden selling an association with the family brand, and Republican committees alleged that President Joe Biden was involved or benefited. After extensive investigation, public reporting through 2024 found no evidence that Joe Biden directly received a business benefit or changed policy in exchange for family payments (AP, 2024a, 2024b). The ethically relevant issue is the marketability of family access; the evidentiary limit is the absence of proof that the president sold official action. Applying the same standard across parties means neither ignoring the access market nor upgrading an unproved allegation into an adjudicated fact.</w:t>
      </w:r>
    </w:p>
    <w:p>
      <w:pPr>
        <w:pStyle w:val="Heading1"/>
      </w:pPr>
      <w:r>
        <w:t>7. Tariffs, Pass-Through Costs, and the Refund Gap</w:t>
      </w:r>
    </w:p>
    <w:p>
      <w:pPr>
        <w:pStyle w:val="Heading2"/>
      </w:pPr>
      <w:r>
        <w:t>7.1 Who paid the tariffs</w:t>
      </w:r>
    </w:p>
    <w:p>
      <w:pPr/>
      <w:r>
        <w:t>Tariffs are legally collected from U.S. importers, not foreign governments. Importers may absorb the cost, shift suppliers, reduce margins, or pass the cost to downstream firms and consumers. Research on the 2018 tariffs found near-complete pass-through into U.S. import prices and an estimated real-income cost of about $1.4 billion per month by the end of 2018 (Amiti et al., 2019). Fajgelbaum and colleagues estimated $51 billion in losses to purchasers of imports and an aggregate real-income loss of $7.2 billion after accounting for tariff revenue and gains to domestic producers (Fajgelbaum et al., 2020).</w:t>
      </w:r>
    </w:p>
    <w:p>
      <w:pPr/>
      <w:r>
        <w:t>The administration then used public funds to compensate politically important sectors injured by retaliation. GAO reported approximately $23 billion in direct payments to farmers through the 2018 and 2019 Market Facilitation Programs, with weaknesses in how payments reflected actual trade damage and how benefits were distributed (GAO, 2022a, 2022b). A later CRS estimate put assistance across three first-term trade-aid programs at about $25.7 billion (CRS, 2025).</w:t>
      </w:r>
    </w:p>
    <w:p>
      <w:pPr/>
      <w:r>
        <w:t>The distributional chain was therefore double-sided. U.S. purchasers paid tariff-inclusive prices. Taxpayers financed relief for selected producers harmed by retaliation. The original policy's political beneficiaries received compensation, while diffuse consumer losses were not individually reimbursed.</w:t>
      </w:r>
    </w:p>
    <w:p>
      <w:pPr>
        <w:pStyle w:val="Heading2"/>
      </w:pPr>
      <w:r>
        <w:t>7.2 The 2026 refund problem</w:t>
      </w:r>
    </w:p>
    <w:p>
      <w:pPr/>
      <w:r>
        <w:t>The second Trump administration's use of emergency authority for broad tariffs created an even sharper version. After the Supreme Court rejected the challenged use of the International Emergency Economic Powers Act for those tariffs, litigation shifted to the mechanics and scope of refunds. By 2026 estimates of potential refunds reached roughly $182 billion, though the amount and eligibility remained contested (Supreme Court of the United States, 2026; U.S. Senate Committee on Small Business and Entrepreneurship, 2026).</w:t>
      </w:r>
    </w:p>
    <w:p>
      <w:pPr/>
      <w:r>
        <w:t>The importer of record paid the government, so the legal refund claim generally belongs to that importer. Consumers who paid higher retail prices ordinarily have no direct claim against Treasury. This creates a possible windfall: a firm may have passed the tariff through to buyers and later receive a government refund without a legal duty to trace and repay those buyers. Some shippers and businesses began developing mechanisms to share refunds, but coverage was voluntary and incomplete (AP, 2026f, 2026g).</w:t>
      </w:r>
    </w:p>
    <w:p>
      <w:pPr/>
      <w:r>
        <w:t>Calling every refund a taxpayer "payback" is imprecise because Treasury is returning unlawfully or improperly collected tariff revenue to the party that remitted it. The corruption concern is the incidence mismatch. Public revenue is returned to identifiable firms, while the people who economically bore some of the charge are diffuse, hard to identify, and legally absent from the refund process. Where firms keep both the customer pass-through and the refund, private actors retain the benefit from both sides of a public-policy error.</w:t>
      </w:r>
    </w:p>
    <w:p>
      <w:pPr>
        <w:pStyle w:val="Heading2"/>
      </w:pPr>
      <w:r>
        <w:t>7.3 Are tariff prices permanently higher?</w:t>
      </w:r>
    </w:p>
    <w:p>
      <w:pPr/>
      <w:r>
        <w:t>Tariffs increase the price level while they bind, but they do not mechanically create permanent inflation. If a tariff disappears, import costs can fall. Retail prices may nevertheless remain above the pre-tariff path because contracts, inventories, menu costs, supplier changes, market concentration, and profit-margin decisions delay or prevent full reversal. The defensible conclusion is therefore persistence, not universal permanence. Consumers are not guaranteed a price rollback merely because Treasury refunds an importer. Any serious remedial statute should require pass-through accounting and consumer restitution where the original cost was shifted downstream.</w:t>
      </w:r>
    </w:p>
    <w:p>
      <w:pPr>
        <w:pStyle w:val="Heading1"/>
      </w:pPr>
      <w:r>
        <w:t>8. Congressional Pay, Work, Leave, and Unequal Accountability</w:t>
      </w:r>
    </w:p>
    <w:p>
      <w:pPr>
        <w:pStyle w:val="Heading2"/>
      </w:pPr>
      <w:r>
        <w:t>8.1 Salary and working time</w:t>
      </w:r>
    </w:p>
    <w:p>
      <w:pPr/>
      <w:r>
        <w:t>Rank-and-file members of Congress receive $174,000 annually, a nominal salary unchanged since 2009. CRS estimates that inflation reduced its real value by roughly one-third over that period (CRS, 2025a, 2026b). Members also receive office budgets and participate in federal retirement and health systems under separate rules. These are not personal salary, but they make congressional employment materially different from ordinary work.</w:t>
      </w:r>
    </w:p>
    <w:p>
      <w:pPr/>
      <w:r>
        <w:t>Counting only floor days understates congressional labor. Committee work, constituent service, travel, fundraising, district events, casework, policy preparation, media, and party responsibilities occur outside formal sessions. It is therefore misleading to divide salary by voting days and call the result an hourly wage. At the same time, the chambers design their own schedules, include extended state-work periods, use pro forma sessions, and impose weak attendance consequences. CRS notes that a "day in session" is a procedural category and can include a pro forma meeting at which little or no business occurs (Heitshusen, 2016). The democratic concern is not that every recess is vacation. It is that no ordinary employer, timekeeping system, or independent board sets minimum service levels.</w:t>
      </w:r>
    </w:p>
    <w:p>
      <w:pPr/>
      <w:r>
        <w:t>Members also retain the ability to own and trade individual securities, receive market-moving briefings, shape regulation, and vote on subsidies while earning a salary well above the national median. The combination of pay, information, self-scheduling, and asset access is more significant than any one benefit.</w:t>
      </w:r>
    </w:p>
    <w:p>
      <w:pPr>
        <w:pStyle w:val="Heading2"/>
      </w:pPr>
      <w:r>
        <w:t>8.2 The McConnell absence as an accountability case</w:t>
      </w:r>
    </w:p>
    <w:p>
      <w:pPr/>
      <w:r>
        <w:t>Mitch McConnell was hospitalized after a June 14, 2026 fall and later treated for pneumonia. His office said he moved to rehabilitation, was not medically cleared to return to the Senate, and was discharged home on August 6 while continuing physical therapy and Senate work through staff. As of the paper's August 17 cutoff, he had not returned to floor voting and no definite return date had been publicly announced (AP, 2026h; Axios, 2026).</w:t>
      </w:r>
    </w:p>
    <w:p>
      <w:pPr/>
      <w:r>
        <w:t>Illness is not corruption, and a humane political system should accommodate disability and recovery. The institutional issue is the absence of a neutral rule that reconciles medical privacy, salary, voting capacity, constituent representation, and continuity. The Senate's rules state that no senator shall be absent without leave and authorize the body to compel attendance when necessary, but discipline is political and internally controlled (U.S. Senate, 2025). The Constitution allows each chamber to expel a member by a two-thirds vote, an extraordinary remedy almost never used for incapacity (U.S. Senate Historical Office, n.d.-d).</w:t>
      </w:r>
    </w:p>
    <w:p>
      <w:pPr/>
      <w:r>
        <w:t>The comparison to ordinary employees is stark. The federal Family and Medical Leave Act provides up to 12 weeks of job-protected leave to eligible employees of covered employers, but the leave is generally unpaid (U.S. Department of Labor, n.d.). In March 2025, 82 percent of civilian workers had access to paid sick leave, with much lower access among low-wage workers; access does not mean an unlimited bank of fully paid months (Bureau of Labor Statistics, 2025a, 2025b). Federal employees may receive up to 12 administrative workweeks of paid parental leave for a qualifying birth or placement, not an open-ended medical absence (Office of Personnel Management, n.d.).</w:t>
      </w:r>
    </w:p>
    <w:p>
      <w:pPr/>
      <w:r>
        <w:t>Thus the claim that McConnell received "more PTO than women after childbirth" captures a real disparity but uses the wrong legal category. He did not receive employer-granted PTO. He continued to hold a constitutional office and salary while medically absent because no outside employer can terminate a senator. Many ordinary workers would exhaust paid leave, shift to unpaid FMLA if eligible, seek disability benefits, or face job loss. The corruption is structural privilege and representation without an enforceable capacity standard, not the senator's need for medical care.</w:t>
      </w:r>
    </w:p>
    <w:p>
      <w:pPr>
        <w:pStyle w:val="Heading2"/>
      </w:pPr>
      <w:r>
        <w:t>8.3 Representation as the missing metric</w:t>
      </w:r>
    </w:p>
    <w:p>
      <w:pPr/>
      <w:r>
        <w:t>The strongest reform question is not how many vacation days Congress should receive. It is how constituents remain represented during extended incapacity. Remote committee participation, proxy or paired voting, transparent medical-capacity certification, temporary constituent-service administration, and a carefully bounded process for prolonged incapacity would address the public function. Any mechanism would require constitutional caution because appointed temporary legislators could dilute democratic choice. Doing nothing, however, leaves capacity decisions to the officeholder, family, staff, party leadership, and rumor.</w:t>
      </w:r>
    </w:p>
    <w:p>
      <w:pPr>
        <w:pStyle w:val="Heading1"/>
      </w:pPr>
      <w:r>
        <w:t>9. Additional Mechanisms of Subtle Power Abuse</w:t>
      </w:r>
    </w:p>
    <w:p>
      <w:pPr>
        <w:pStyle w:val="Heading2"/>
      </w:pPr>
      <w:r>
        <w:t>9.1 Regulatory and cultural capture</w:t>
      </w:r>
    </w:p>
    <w:p>
      <w:pPr/>
      <w:r>
        <w:t>Regulatory capture rarely looks like an order to ignore the law. It can arise because regulators depend on industry data, share professional assumptions with regulated firms, anticipate private employment, or lack resources to challenge well-funded specialists. GAO found that Federal Reserve and Office of the Comptroller of the Currency controls did not consistently mitigate capture risks in large-bank supervision, including weaknesses in tracking post-employment and recusal information (GAO, 2018, 2019a).</w:t>
      </w:r>
    </w:p>
    <w:p>
      <w:pPr/>
      <w:r>
        <w:t>The revolving door can improve expertise. A categorical ban on anyone with industry experience would weaken agencies. The corruption risk appears when public service becomes a credential for later compensation, when a regulator's future employer is affected by current decisions, or when former officials sell access that outsiders cannot reproduce.</w:t>
      </w:r>
    </w:p>
    <w:p>
      <w:pPr>
        <w:pStyle w:val="Heading2"/>
      </w:pPr>
      <w:r>
        <w:t>9.2 Supreme Court ethics and gifts</w:t>
      </w:r>
    </w:p>
    <w:p>
      <w:pPr/>
      <w:r>
        <w:t>Supreme Court justices adopted a written code of conduct in 2023 after reporting about undisclosed travel, lodging, and gifts, especially Justice Clarence Thomas's relationship with Harlan Crow. Thomas later amended disclosures to include trips (ProPublica, 2023; AP, 2024c). The code articulates ethical principles but lacks the external enforcement, investigatory, and sanction architecture that applies to many lower-court judges and executive officials (Supreme Court of the United States, 2023; U.S. Senate Committee on the Judiciary, 2024).</w:t>
      </w:r>
    </w:p>
    <w:p>
      <w:pPr/>
      <w:r>
        <w:t>The constitutional separation-of-powers problem is real. So is the institutional asymmetry: the Court makes final rules affecting donors, businesses, elections, regulation, and presidential power while largely policing itself. A gift need not purchase a vote to create social dependence, access, and an appearance that elite relationships occupy a different ethical system.</w:t>
      </w:r>
    </w:p>
    <w:p>
      <w:pPr>
        <w:pStyle w:val="Heading2"/>
      </w:pPr>
      <w:r>
        <w:t>9.3 Clemency as network protection</w:t>
      </w:r>
    </w:p>
    <w:p>
      <w:pPr/>
      <w:r>
        <w:t>Presidential clemency can correct injustice and is intentionally broad. It can also protect allies, donors, relatives, and participants in conduct connected to the president. Ford's pardon of Nixon, Bush's Iran-Contra pardons, Clinton's pardon of Marc Rich, Trump's first-term clemency for political associates, Biden's pardon of his son Hunter, and Trump's second-term clemency for January 6 offenses all generated different mixes of mercy, self-interest, and political solidarity. DOJ's clemency records confirm the grants, but constitutional validity does not resolve their legitimacy (DOJ, n.d.).</w:t>
      </w:r>
    </w:p>
    <w:p>
      <w:pPr/>
      <w:r>
        <w:t>The corruption risk is greatest when clemency weakens investigations into the grantor's own conduct, rewards silence or loyalty, benefits a close relative, or communicates that political allies face a different consequence structure. A president cannot be required to surrender the pardon power by ordinary statute, but disclosure of outside contacts, written reasons, and a presumption against self-protective grants could increase accountability.</w:t>
      </w:r>
    </w:p>
    <w:p>
      <w:pPr>
        <w:pStyle w:val="Heading2"/>
      </w:pPr>
      <w:r>
        <w:t>9.4 Selective accountability and partisan oversight</w:t>
      </w:r>
    </w:p>
    <w:p>
      <w:pPr/>
      <w:r>
        <w:t>Oversight is often strongest when the opposing party controls a chamber and weakest when co-partisans do. This creates a predictable cycle: genuine evidence becomes entangled with messaging, unproved allegations are amplified, and comparable conduct is redescribed when party control changes. The Biden-family and Trump-family investigations illustrate the danger. The correct response is not false equivalence. It is a stable evidentiary rule: document the money, identify the official act or access benefit, grade the inference, disclose counterevidence, and apply the same rule regardless of party.</w:t>
      </w:r>
    </w:p>
    <w:p>
      <w:pPr>
        <w:pStyle w:val="Heading1"/>
      </w:pPr>
      <w:r>
        <w:t>10. A Unified Political Economy of Corruption</w:t>
      </w:r>
    </w:p>
    <w:p>
      <w:pPr/>
      <w:r>
        <w:t>The cases since 1960 reveal seven recurring mechanisms.</w:t>
      </w:r>
    </w:p>
    <w:p>
      <w:pPr>
        <w:pStyle w:val="ListNumber"/>
        <w:numPr>
          <w:ilvl w:val="0"/>
          <w:numId w:val="11"/>
        </w:numPr>
      </w:pPr>
      <w:r>
        <w:rPr>
          <w:b/>
        </w:rPr>
        <w:t>Information rents.</w:t>
      </w:r>
      <w:r>
        <w:t xml:space="preserve"> Officials obtain nonpublic information through hearings, classified briefings, regulatory contact, procurement, and crisis planning. Securities trading converts that informational privilege into private gain.</w:t>
      </w:r>
    </w:p>
    <w:p>
      <w:pPr>
        <w:pStyle w:val="ListNumber"/>
        <w:numPr>
          <w:ilvl w:val="0"/>
          <w:numId w:val="11"/>
        </w:numPr>
      </w:pPr>
      <w:r>
        <w:rPr>
          <w:b/>
        </w:rPr>
        <w:t>Access monetization.</w:t>
      </w:r>
      <w:r>
        <w:t xml:space="preserve"> Donors, hotel guests, token holders, investors, lobbyists, and foreign funds purchase a relationship or signal even when they do not buy an explicit official act.</w:t>
      </w:r>
    </w:p>
    <w:p>
      <w:pPr>
        <w:pStyle w:val="ListNumber"/>
        <w:numPr>
          <w:ilvl w:val="0"/>
          <w:numId w:val="11"/>
        </w:numPr>
      </w:pPr>
      <w:r>
        <w:rPr>
          <w:b/>
        </w:rPr>
        <w:t>Risk socialization.</w:t>
      </w:r>
      <w:r>
        <w:t xml:space="preserve"> In 2008 and 2020, public institutions absorbed catastrophic downside while firms, creditors, asset owners, and intermediaries retained much of the recovery upside.</w:t>
      </w:r>
    </w:p>
    <w:p>
      <w:pPr>
        <w:pStyle w:val="ListNumber"/>
        <w:numPr>
          <w:ilvl w:val="0"/>
          <w:numId w:val="11"/>
        </w:numPr>
      </w:pPr>
      <w:r>
        <w:rPr>
          <w:b/>
        </w:rPr>
        <w:t>Incidence mismatch.</w:t>
      </w:r>
      <w:r>
        <w:t xml:space="preserve"> Tariff costs, fees, inflation, pollution, or financial risk may be borne by diffuse households while refunds, subsidies, and relief flow to organized claimants.</w:t>
      </w:r>
    </w:p>
    <w:p>
      <w:pPr>
        <w:pStyle w:val="ListNumber"/>
        <w:numPr>
          <w:ilvl w:val="0"/>
          <w:numId w:val="11"/>
        </w:numPr>
      </w:pPr>
      <w:r>
        <w:rPr>
          <w:b/>
        </w:rPr>
        <w:t>Self-policing.</w:t>
      </w:r>
      <w:r>
        <w:t xml:space="preserve"> Congress writes its own ethics and trading rules, the presidency is exempt from the central conflict statute, and the Supreme Court lacks an external ethics enforcer.</w:t>
      </w:r>
    </w:p>
    <w:p>
      <w:pPr>
        <w:pStyle w:val="ListNumber"/>
        <w:numPr>
          <w:ilvl w:val="0"/>
          <w:numId w:val="11"/>
        </w:numPr>
      </w:pPr>
      <w:r>
        <w:rPr>
          <w:b/>
        </w:rPr>
        <w:t>Legal narrowing.</w:t>
      </w:r>
      <w:r>
        <w:t xml:space="preserve"> Courts reasonably demand precise criminal elements, but the resulting doctrine leaves relational influence, gratuities, access, and non-property abuse outside many federal statutes.</w:t>
      </w:r>
    </w:p>
    <w:p>
      <w:pPr>
        <w:pStyle w:val="ListNumber"/>
        <w:numPr>
          <w:ilvl w:val="0"/>
          <w:numId w:val="11"/>
        </w:numPr>
      </w:pPr>
      <w:r>
        <w:rPr>
          <w:b/>
        </w:rPr>
        <w:t>Time and capacity privilege.</w:t>
      </w:r>
      <w:r>
        <w:t xml:space="preserve"> Elected tenure, pay continuity, staff control, and weak attendance rules protect officeholders in ways unavailable to most workers and can deprive constituents of active representation.</w:t>
      </w:r>
    </w:p>
    <w:p>
      <w:pPr/>
      <w:r>
        <w:t>These mechanisms reinforce one another. Money purchases access; access yields information; information improves investment and lobbying; wealth finances more political influence; legal rules classify the cycle as independent speech or disclosed ownership; and self-policing makes the remaining penalties small.</w:t>
      </w:r>
    </w:p>
    <w:p>
      <w:pPr/>
      <w:r>
        <w:t>The result is not a claim that every wealthy official is corrupt or that every pro-business policy is illegitimate. It is a claim about dependency. An institution becomes corrupt when its regular incentives make the public purpose secondary to the needs of the people financing, staffing, informing, or personally benefiting from it.</w:t>
      </w:r>
    </w:p>
    <w:p>
      <w:pPr>
        <w:pStyle w:val="Heading1"/>
      </w:pPr>
      <w:r>
        <w:t>11. Counterarguments</w:t>
      </w:r>
    </w:p>
    <w:p>
      <w:pPr>
        <w:pStyle w:val="Heading2"/>
      </w:pPr>
      <w:r>
        <w:t>11.1 Criminal precision protects democracy</w:t>
      </w:r>
    </w:p>
    <w:p>
      <w:pPr/>
      <w:r>
        <w:t>Narrow bribery rules protect officials and citizens from prosecutors who could otherwise criminalize ordinary politics. Constituents ask for favors, donors support candidates who share their views, and officials must meet with interested parties. This objection is persuasive against vague criminalization. It does not justify leaving conflicts in place. The response should combine narrow crimes with broad prophylactic rules such as divestment, blind trusts, transaction bans, disclosure, and independent civil enforcement.</w:t>
      </w:r>
    </w:p>
    <w:p>
      <w:pPr>
        <w:pStyle w:val="Heading2"/>
      </w:pPr>
      <w:r>
        <w:t>11.2 Wealth and expertise are not guilt</w:t>
      </w:r>
    </w:p>
    <w:p>
      <w:pPr/>
      <w:r>
        <w:t>Officials may be wealthy before office. Spouses have independent careers. Industry professionals can improve regulation. A successful trade can reflect public information. These facts defeat automatic inferences of crime. They do not eliminate a conflict that can be prevented without deciding intent. A blind trust or diversified fund permits wealth accumulation without allowing an officeholder's household to select companies affected by official power.</w:t>
      </w:r>
    </w:p>
    <w:p>
      <w:pPr>
        <w:pStyle w:val="Heading2"/>
      </w:pPr>
      <w:r>
        <w:t>11.3 Emergency programs require speed</w:t>
      </w:r>
    </w:p>
    <w:p>
      <w:pPr/>
      <w:r>
        <w:t>PPP and financial rescues had to move quickly. Excess verification could have destroyed viable firms and jobs. That is true. Yet speed and integrity are not mutually exclusive. Beneficial-ownership data, tax-record verification, lender accountability, automated duplicate checks, transparent recipient data, clawbacks, and post-award audits could have been built into the original architecture.</w:t>
      </w:r>
    </w:p>
    <w:p>
      <w:pPr>
        <w:pStyle w:val="Heading2"/>
      </w:pPr>
      <w:r>
        <w:t>11.4 Elected officials are not ordinary employees</w:t>
      </w:r>
    </w:p>
    <w:p>
      <w:pPr/>
      <w:r>
        <w:t>Voters, not managers, choose legislators. A supervisor should not be able to fire a senator. This constitutional independence protects democracy. It also means that absence and incapacity require democratic mechanisms rather than workplace analogies. The absence of an employer is not a reason to have no rule at all.</w:t>
      </w:r>
    </w:p>
    <w:p>
      <w:pPr>
        <w:pStyle w:val="Heading2"/>
      </w:pPr>
      <w:r>
        <w:t>11.5 Distribution is politics, not corruption</w:t>
      </w:r>
    </w:p>
    <w:p>
      <w:pPr/>
      <w:r>
        <w:t>Tax and spending choices inevitably create winners and losers. Labeling every regressive policy corrupt would erase the difference between policy disagreement and misconduct. The distinction should turn on process and conflict: undisclosed self-interest, privileged information, concentrated access, false public claims about incidence, selective compensation, weak controls designed by beneficiaries, or a measurable departure from the program's stated purpose.</w:t>
      </w:r>
    </w:p>
    <w:p>
      <w:pPr>
        <w:pStyle w:val="Heading1"/>
      </w:pPr>
      <w:r>
        <w:t>12. Reform Agenda</w:t>
      </w:r>
    </w:p>
    <w:p>
      <w:pPr>
        <w:pStyle w:val="Heading2"/>
      </w:pPr>
      <w:r>
        <w:t>12.1 Congress</w:t>
      </w:r>
    </w:p>
    <w:p>
      <w:pPr/>
      <w:r>
        <w:t>Congress should prohibit members, spouses, and dependent children from owning or trading individual stocks, sector funds, commodity interests, options, and crypto assets. Permitted holdings should be limited to diversified mutual funds, broad index funds, Treasury securities, and genuinely qualified blind trusts. Existing holdings should be divested, not grandfathered indefinitely. A civil enforcement office independent of party leadership should receive real-time, machine-readable transaction and beneficial-ownership data, impose penalties proportionate to position size, and order disgorgement where privileged information was used.</w:t>
      </w:r>
    </w:p>
    <w:p>
      <w:pPr/>
      <w:r>
        <w:t>Committee assignments and recusals should be linked automatically to financial interests. Stock-disclosure data should be published as structured records rather than image PDFs and value ranges should be narrowed. The Constitution's Speech or Debate Clause must be respected, but it should not become a shield for household market activity unrelated to legislative deliberation.</w:t>
      </w:r>
    </w:p>
    <w:p>
      <w:pPr>
        <w:pStyle w:val="Heading2"/>
      </w:pPr>
      <w:r>
        <w:t>12.2 Presidency and vice presidency</w:t>
      </w:r>
    </w:p>
    <w:p>
      <w:pPr/>
      <w:r>
        <w:t>Congress should apply a tailored financial-conflict regime to the president and vice president. Before inauguration, covered business and crypto interests should be divested into truly independent assets or placed in a qualified blind trust whose holdings are unknown to the officeholder. Identity-linked companies, family-branded tokens, and single-asset trusts should not qualify.</w:t>
      </w:r>
    </w:p>
    <w:p>
      <w:pPr/>
      <w:r>
        <w:t>Foreign-government and state-owned-entity payments to presidential businesses should be prohibited absent advance congressional consent and full beneficial-owner disclosure. Digital-asset issuers affiliated with a president should disclose token allocation, wallets, purchasers above a threshold, reserve assets, fees, and foreign-government participation. Offers of presidential access conditioned on purchases from an affiliated business should be forbidden.</w:t>
      </w:r>
    </w:p>
    <w:p>
      <w:pPr>
        <w:pStyle w:val="Heading2"/>
      </w:pPr>
      <w:r>
        <w:t>12.3 Campaign finance and lobbying</w:t>
      </w:r>
    </w:p>
    <w:p>
      <w:pPr/>
      <w:r>
        <w:t>All entities spending significant funds on federal elections should disclose original beneficial funders, including money passed through nonprofits or shell organizations. Coordination rules should focus on functional cooperation rather than formal separation. Public financing and small-donor matching can reduce dependence without suppressing speech.</w:t>
      </w:r>
    </w:p>
    <w:p>
      <w:pPr/>
      <w:r>
        <w:t>Lobbying disclosure should cover strategic advice, shadow lobbying, and paid access work that currently falls below registration thresholds. Senior officials should face longer, role-specific cooling-off periods, with compensation disclosure for foreign-government and regulated-industry work. Agencies should track departures and recusals systematically.</w:t>
      </w:r>
    </w:p>
    <w:p>
      <w:pPr>
        <w:pStyle w:val="Heading2"/>
      </w:pPr>
      <w:r>
        <w:t>12.4 Crisis governance</w:t>
      </w:r>
    </w:p>
    <w:p>
      <w:pPr/>
      <w:r>
        <w:t>Emergency programs should begin with a public incidence statement: who is legally paid, who is expected to benefit economically, and who bears the residual risk. Beneficial ownership, tax identifiers, payroll data, and conflict checks should be available before disbursement at scale. Recipient data should be public promptly, subject to narrow privacy protections. Automatic clawbacks, audit rights, and executive certification should survive forgiveness.</w:t>
      </w:r>
    </w:p>
    <w:p>
      <w:pPr/>
      <w:r>
        <w:t>For tariffs, refunds should follow economic incidence where administratively possible. Importers seeking large refunds should attest how much cost was passed to customers, identify downstream business purchasers, and fund proportionate restitution or price credits. Where individual consumers cannot be traced, a statutory consumer restitution fund is preferable to a windfall for the importer of record.</w:t>
      </w:r>
    </w:p>
    <w:p>
      <w:pPr>
        <w:pStyle w:val="Heading2"/>
      </w:pPr>
      <w:r>
        <w:t>12.5 Attendance, capacity, and continuity</w:t>
      </w:r>
    </w:p>
    <w:p>
      <w:pPr/>
      <w:r>
        <w:t>Congress should establish a transparent extended-absence framework that protects medical privacy while preserving representation. After a defined period of missed votes, the chamber should publish a neutral status: able to perform duties remotely, temporarily unable, or capacity undetermined. An independent medical panel could certify functional capacity without disclosing diagnoses. Remote committee work and secure constituent-service continuity should be available. Any vacancy or temporary-representation mechanism would require constitutional analysis and, likely, an amendment for senators.</w:t>
      </w:r>
    </w:p>
    <w:p>
      <w:pPr>
        <w:pStyle w:val="Heading2"/>
      </w:pPr>
      <w:r>
        <w:t>12.6 Courts and public-integrity law</w:t>
      </w:r>
    </w:p>
    <w:p>
      <w:pPr/>
      <w:r>
        <w:t>The Supreme Court should be subject to an enforceable disclosure, recusal, gift, and investigation system consistent with judicial independence. Congress should define gratuities, official acts, and honest-services duties with the specificity recent decisions require, while preserving notice and preventing partisan prosecution. Civil remedies, disqualification, disclosure, and disgorgement can reach conflicts that should not be felonies.</w:t>
      </w:r>
    </w:p>
    <w:p>
      <w:pPr>
        <w:pStyle w:val="Heading2"/>
      </w:pPr>
      <w:r>
        <w:t>12.7 Clemency transparency</w:t>
      </w:r>
    </w:p>
    <w:p>
      <w:pPr/>
      <w:r>
        <w:t>The president should publish reasons, application materials, and material outside contacts for clemency grants, with exceptions for safety and privacy. Grants affecting the president, close family, campaign leadership, witnesses in matters involving the president, or major donors should trigger an automatic congressional report and inspector-general review. These mechanisms cannot nullify a constitutional pardon, but they can expose self-protection.</w:t>
      </w:r>
    </w:p>
    <w:p>
      <w:pPr>
        <w:pStyle w:val="Heading1"/>
      </w:pPr>
      <w:r>
        <w:t>13. Conclusion</w:t>
      </w:r>
    </w:p>
    <w:p>
      <w:pPr/>
      <w:r>
        <w:t>The history of American political corruption since 1960 is not a steady decline from clean government to scandal. It is a repeated contest between exposure and adaptation. Watergate produced ethics law; influence migrated toward independent spending and access. Insider-trading concerns produced disclosure; members retained the underlying assets. Emergency programs saved the economy; ownership and institutional readiness determined who captured the largest benefits. Tariffs were sold as foreign payments; American importers and consumers bore the costs, selected industries received aid, and later refunds created a new incidence mismatch. Presidential wealth once centered on hotels and real estate; crypto and identity-linked securities now permit instantaneous, transnational, and partly pseudonymous monetization.</w:t>
      </w:r>
    </w:p>
    <w:p>
      <w:pPr/>
      <w:r>
        <w:t>The named cases matter. Agnew, ABSCAM, Cunningham, Abramoff, Jefferson, Blagojevich, and Menendez demonstrate that ordinary bribery never disappeared. Nancy Pelosi's household trading illustrates a congressional conflict shared across parties. Mitch McConnell's prolonged medical absence illustrates unequal accountability rather than personal venality. Trump's retained businesses, media stake, securities, crypto ventures, access-linked memecoin, and family foreign investments demonstrate how a presidency can become a diversified private monetization platform even when each transaction cannot be tied to a prosecutable exchange.</w:t>
      </w:r>
    </w:p>
    <w:p>
      <w:pPr/>
      <w:r>
        <w:t>The most important finding is that legality is not the opposite of corruption. Law can be written narrowly, enforced weakly, or designed by its beneficiaries. A graduate-level account must therefore hold two ideas at once: accusations against individuals require disciplined evidence, and institutional corruption can be real before a prosecutor proves a crime. The proper standard is whether public power is arranged to serve public purposes under rules that apply with comparable force to insiders and ordinary citizens. By that standard, the post-1960 United States has repeatedly criminalized the crude sale of office while tolerating a sophisticated market in information, access, immunity, and public risk.</w:t>
      </w:r>
    </w:p>
    <w:p>
      <w:r>
        <w:br w:type="page"/>
      </w:r>
    </w:p>
    <w:p>
      <w:pPr>
        <w:pStyle w:val="Heading1"/>
      </w:pPr>
      <w:r>
        <w:t>References</w:t>
      </w:r>
    </w:p>
    <w:p>
      <w:pPr>
        <w:pStyle w:val="References"/>
      </w:pPr>
      <w:r>
        <w:t xml:space="preserve">Aiken, A. L., Ellis, J. A., &amp; Kang, M. J. (2023). Perceptions of political self-dealing? An empirical investigation of abnormal returns surrounding U.S. Senate stock transactions. </w:t>
      </w:r>
      <w:r>
        <w:rPr>
          <w:i/>
        </w:rPr>
        <w:t>Strategic Management Journal, 44</w:t>
      </w:r>
      <w:r>
        <w:t xml:space="preserve">(5), 1168-1198. </w:t>
      </w:r>
      <w:hyperlink r:id="rId11">
        <w:r>
          <w:rPr>
            <w:color w:val="2E74B5"/>
            <w:u w:val="single"/>
          </w:rPr>
          <w:t>https://ideas.repec.org/a/bla/stratm/v44y2023i5p1168-1198.html</w:t>
        </w:r>
      </w:hyperlink>
    </w:p>
    <w:p>
      <w:pPr>
        <w:pStyle w:val="References"/>
      </w:pPr>
      <w:r>
        <w:t xml:space="preserve">Amiti, M., Redding, S. J., &amp; Weinstein, D. E. (2019). The impact of the 2018 tariffs on prices and welfare. </w:t>
      </w:r>
      <w:r>
        <w:rPr>
          <w:i/>
        </w:rPr>
        <w:t>Journal of Economic Perspectives, 33</w:t>
      </w:r>
      <w:r>
        <w:t xml:space="preserve">(4), 187-210. </w:t>
      </w:r>
      <w:hyperlink r:id="rId12">
        <w:r>
          <w:rPr>
            <w:color w:val="2E74B5"/>
            <w:u w:val="single"/>
          </w:rPr>
          <w:t>https://doi.org/10.1257/jep.33.4.187</w:t>
        </w:r>
      </w:hyperlink>
    </w:p>
    <w:p>
      <w:pPr>
        <w:pStyle w:val="References"/>
      </w:pPr>
      <w:r>
        <w:t xml:space="preserve">Associated Press. (2024a, February 21). James Biden tells GOP lawmakers that Joe Biden had no involvement in the family's business dealings. </w:t>
      </w:r>
      <w:hyperlink r:id="rId13">
        <w:r>
          <w:rPr>
            <w:color w:val="2E74B5"/>
            <w:u w:val="single"/>
          </w:rPr>
          <w:t>https://apnews.com/article/b5116eb6d686750b75b944a12eed5a9e</w:t>
        </w:r>
      </w:hyperlink>
    </w:p>
    <w:p>
      <w:pPr>
        <w:pStyle w:val="References"/>
      </w:pPr>
      <w:r>
        <w:t xml:space="preserve">Associated Press. (2024b, April 16). White House rejects long-shot House Republican effort to get President Joe Biden to testify. </w:t>
      </w:r>
      <w:hyperlink r:id="rId14">
        <w:r>
          <w:rPr>
            <w:color w:val="2E74B5"/>
            <w:u w:val="single"/>
          </w:rPr>
          <w:t>https://apnews.com/article/17a52c24f2da5927e0665657848a1231</w:t>
        </w:r>
      </w:hyperlink>
    </w:p>
    <w:p>
      <w:pPr>
        <w:pStyle w:val="References"/>
      </w:pPr>
      <w:r>
        <w:t xml:space="preserve">Associated Press. (2024c, June 7). Justice Thomas acknowledges more travel paid for by Harlan Crow. </w:t>
      </w:r>
      <w:hyperlink r:id="rId15">
        <w:r>
          <w:rPr>
            <w:color w:val="2E74B5"/>
            <w:u w:val="single"/>
          </w:rPr>
          <w:t>https://apnews.com/article/d0873c92792f6c0791c9269fe05ed937</w:t>
        </w:r>
      </w:hyperlink>
    </w:p>
    <w:p>
      <w:pPr>
        <w:pStyle w:val="References"/>
      </w:pPr>
      <w:r>
        <w:t xml:space="preserve">Associated Press. (2026a, June 30). Supreme Court strikes down limits on coordinated political-party spending. </w:t>
      </w:r>
      <w:hyperlink r:id="rId16">
        <w:r>
          <w:rPr>
            <w:color w:val="2E74B5"/>
            <w:u w:val="single"/>
          </w:rPr>
          <w:t>https://apnews.com/article/91e49ee112197ae1210a9abfa46986ed</w:t>
        </w:r>
      </w:hyperlink>
    </w:p>
    <w:p>
      <w:pPr>
        <w:pStyle w:val="References"/>
      </w:pPr>
      <w:r>
        <w:t xml:space="preserve">Associated Press. (2026b, July 22). House passes a limited congressional stock-trading bill. </w:t>
      </w:r>
      <w:hyperlink r:id="rId17">
        <w:r>
          <w:rPr>
            <w:color w:val="2E74B5"/>
            <w:u w:val="single"/>
          </w:rPr>
          <w:t>https://apnews.com/article/3400cf5d498cc9934c0f16be1326bfe9</w:t>
        </w:r>
      </w:hyperlink>
    </w:p>
    <w:p>
      <w:pPr>
        <w:pStyle w:val="References"/>
      </w:pPr>
      <w:r>
        <w:t xml:space="preserve">Associated Press. (2026c, June 30). Trump reports extraordinary income from cryptocurrency ventures. </w:t>
      </w:r>
      <w:hyperlink r:id="rId18">
        <w:r>
          <w:rPr>
            <w:color w:val="2E74B5"/>
            <w:u w:val="single"/>
          </w:rPr>
          <w:t>https://apnews.com/article/060c15062b8fedc6104159ea13775463</w:t>
        </w:r>
      </w:hyperlink>
    </w:p>
    <w:p>
      <w:pPr>
        <w:pStyle w:val="References"/>
      </w:pPr>
      <w:r>
        <w:t xml:space="preserve">Associated Press. (2026d, July 1). Trump's crypto income dominates his annual financial disclosure. </w:t>
      </w:r>
      <w:hyperlink r:id="rId19">
        <w:r>
          <w:rPr>
            <w:color w:val="2E74B5"/>
            <w:u w:val="single"/>
          </w:rPr>
          <w:t>https://apnews.com/article/8b8b54fae333d1200f4c1b509991b544</w:t>
        </w:r>
      </w:hyperlink>
    </w:p>
    <w:p>
      <w:pPr>
        <w:pStyle w:val="References"/>
      </w:pPr>
      <w:r>
        <w:t xml:space="preserve">Associated Press. (2026e, July). An examination of presidential investments, business interests, and policy conflicts. </w:t>
      </w:r>
      <w:hyperlink r:id="rId20">
        <w:r>
          <w:rPr>
            <w:color w:val="2E74B5"/>
            <w:u w:val="single"/>
          </w:rPr>
          <w:t>https://apnews.com/article/trump-personal-profits-anti-weaponization-fund-7d47cc89f207b0b3749fdeefdf4de4c7</w:t>
        </w:r>
      </w:hyperlink>
    </w:p>
    <w:p>
      <w:pPr>
        <w:pStyle w:val="References"/>
      </w:pPr>
      <w:r>
        <w:t xml:space="preserve">Associated Press. (2026f, August 11). U.S. government contests the scope of universal tariff refunds. </w:t>
      </w:r>
      <w:hyperlink r:id="rId21">
        <w:r>
          <w:rPr>
            <w:color w:val="2E74B5"/>
            <w:u w:val="single"/>
          </w:rPr>
          <w:t>https://apnews.com/article/435c34b570308d57895212baea601854</w:t>
        </w:r>
      </w:hyperlink>
    </w:p>
    <w:p>
      <w:pPr>
        <w:pStyle w:val="References"/>
      </w:pPr>
      <w:r>
        <w:t xml:space="preserve">Associated Press. (2026g, August 13). Some shippers plan to share tariff refunds with customers. </w:t>
      </w:r>
      <w:hyperlink r:id="rId22">
        <w:r>
          <w:rPr>
            <w:color w:val="2E74B5"/>
            <w:u w:val="single"/>
          </w:rPr>
          <w:t>https://apnews.com/article/d4162f466eb83aa97e430a86221ad226</w:t>
        </w:r>
      </w:hyperlink>
    </w:p>
    <w:p>
      <w:pPr>
        <w:pStyle w:val="References"/>
      </w:pPr>
      <w:r>
        <w:t xml:space="preserve">Associated Press. (2026h, July 27). McConnell remains in rehabilitation and is not medically cleared to return. </w:t>
      </w:r>
      <w:hyperlink r:id="rId23">
        <w:r>
          <w:rPr>
            <w:color w:val="2E74B5"/>
            <w:u w:val="single"/>
          </w:rPr>
          <w:t>https://apnews.com/article/0f22b78f636d962c548cd8505a854d8a</w:t>
        </w:r>
      </w:hyperlink>
    </w:p>
    <w:p>
      <w:pPr>
        <w:pStyle w:val="References"/>
      </w:pPr>
      <w:r>
        <w:t xml:space="preserve">Autor, D., Cho, D., Crane, L. D., Goldar, M., Lutz, B., Montes, J., Peterman, W. B., Ratner, D., Villar, D., &amp; Yildirmaz, A. (2022). </w:t>
      </w:r>
      <w:r>
        <w:rPr>
          <w:i/>
        </w:rPr>
        <w:t>The $800 billion Paycheck Protection Program: Where did the money go and why did it go there?</w:t>
      </w:r>
      <w:r>
        <w:t xml:space="preserve"> National Bureau of Economic Research. </w:t>
      </w:r>
      <w:hyperlink r:id="rId24">
        <w:r>
          <w:rPr>
            <w:color w:val="2E74B5"/>
            <w:u w:val="single"/>
          </w:rPr>
          <w:t>https://www.nber.org/papers/w29669</w:t>
        </w:r>
      </w:hyperlink>
    </w:p>
    <w:p>
      <w:pPr>
        <w:pStyle w:val="References"/>
      </w:pPr>
      <w:r>
        <w:t xml:space="preserve">Axios. (2026, August 6). McConnell discharged from rehab center, Senate return still unclear. </w:t>
      </w:r>
      <w:hyperlink r:id="rId25">
        <w:r>
          <w:rPr>
            <w:color w:val="2E74B5"/>
            <w:u w:val="single"/>
          </w:rPr>
          <w:t>https://www.axios.com/2026/08/06/mcconnell-discharged-rehab-center-health</w:t>
        </w:r>
      </w:hyperlink>
    </w:p>
    <w:p>
      <w:pPr>
        <w:pStyle w:val="References"/>
      </w:pPr>
      <w:r>
        <w:t xml:space="preserve">Batty, M., Deeken, E., Volz, A. H., &amp; Yannie, J. (2021). Wealth inequality and COVID-19: Evidence from the Distributional Financial Accounts. </w:t>
      </w:r>
      <w:r>
        <w:rPr>
          <w:i/>
        </w:rPr>
        <w:t>FEDS Notes</w:t>
      </w:r>
      <w:r>
        <w:t xml:space="preserve">. Board of Governors of the Federal Reserve System. </w:t>
      </w:r>
      <w:hyperlink r:id="rId26">
        <w:r>
          <w:rPr>
            <w:color w:val="2E74B5"/>
            <w:u w:val="single"/>
          </w:rPr>
          <w:t>https://www.federalreserve.gov/econres/notes/feds-notes/wealth-inequality-and-covid-19-evidence-from-the-distributional-financial-accounts-20210830.html</w:t>
        </w:r>
      </w:hyperlink>
    </w:p>
    <w:p>
      <w:pPr>
        <w:pStyle w:val="References"/>
      </w:pPr>
      <w:r>
        <w:t xml:space="preserve">Bureau of Labor Statistics. (2025a). </w:t>
      </w:r>
      <w:r>
        <w:rPr>
          <w:i/>
        </w:rPr>
        <w:t>Paid sick leave</w:t>
      </w:r>
      <w:r>
        <w:t xml:space="preserve">. </w:t>
      </w:r>
      <w:hyperlink r:id="rId27">
        <w:r>
          <w:rPr>
            <w:color w:val="2E74B5"/>
            <w:u w:val="single"/>
          </w:rPr>
          <w:t>https://www.bls.gov/ebs/factsheets/paid-sick-leave.htm</w:t>
        </w:r>
      </w:hyperlink>
    </w:p>
    <w:p>
      <w:pPr>
        <w:pStyle w:val="References"/>
      </w:pPr>
      <w:r>
        <w:t xml:space="preserve">Bureau of Labor Statistics. (2025b). </w:t>
      </w:r>
      <w:r>
        <w:rPr>
          <w:i/>
        </w:rPr>
        <w:t>Percent of workers with access to paid leave by wage category</w:t>
      </w:r>
      <w:r>
        <w:t xml:space="preserve">. </w:t>
      </w:r>
      <w:hyperlink r:id="rId28">
        <w:r>
          <w:rPr>
            <w:color w:val="2E74B5"/>
            <w:u w:val="single"/>
          </w:rPr>
          <w:t>https://www.bls.gov/charts/employee-benefits/percent-access-paid-leave-by-wage.htm</w:t>
        </w:r>
      </w:hyperlink>
    </w:p>
    <w:p>
      <w:pPr>
        <w:pStyle w:val="References"/>
      </w:pPr>
      <w:r>
        <w:t xml:space="preserve">Campaign Legal Center. (2022). The STOCK Act's failed effort to stop insider trading in Congress. </w:t>
      </w:r>
      <w:hyperlink r:id="rId29">
        <w:r>
          <w:rPr>
            <w:color w:val="2E74B5"/>
            <w:u w:val="single"/>
          </w:rPr>
          <w:t>https://campaignlegal.org/update/part-2-stock-act-failed-effort-stop-insider-trading-congress</w:t>
        </w:r>
      </w:hyperlink>
    </w:p>
    <w:p>
      <w:pPr>
        <w:pStyle w:val="References"/>
      </w:pPr>
      <w:r>
        <w:t xml:space="preserve">Campaign Legal Center. (2023). Congressional stock trading continues to raise conflicts of interest concerns. </w:t>
      </w:r>
      <w:hyperlink r:id="rId30">
        <w:r>
          <w:rPr>
            <w:color w:val="2E74B5"/>
            <w:u w:val="single"/>
          </w:rPr>
          <w:t>https://campaignlegal.org/update/congressional-stock-trading-continues-raise-conflicts-interest-concerns</w:t>
        </w:r>
      </w:hyperlink>
    </w:p>
    <w:p>
      <w:pPr>
        <w:pStyle w:val="References"/>
      </w:pPr>
      <w:r>
        <w:t xml:space="preserve">Clerk of the U.S. House of Representatives. (2024). </w:t>
      </w:r>
      <w:r>
        <w:rPr>
          <w:i/>
        </w:rPr>
        <w:t>Periodic transaction report of Hon. Nancy Pelosi, filing ID 20025368</w:t>
      </w:r>
      <w:r>
        <w:t xml:space="preserve">. </w:t>
      </w:r>
      <w:hyperlink r:id="rId31">
        <w:r>
          <w:rPr>
            <w:color w:val="2E74B5"/>
            <w:u w:val="single"/>
          </w:rPr>
          <w:t>https://disclosures-clerk.house.gov/public_disc/ptr-pdfs/2024/20025368.pdf</w:t>
        </w:r>
      </w:hyperlink>
    </w:p>
    <w:p>
      <w:pPr>
        <w:pStyle w:val="References"/>
      </w:pPr>
      <w:r>
        <w:t xml:space="preserve">Congressional Budget Office. (2023). </w:t>
      </w:r>
      <w:r>
        <w:rPr>
          <w:i/>
        </w:rPr>
        <w:t>The distribution of household income in 2020</w:t>
      </w:r>
      <w:r>
        <w:t xml:space="preserve">. </w:t>
      </w:r>
      <w:hyperlink r:id="rId32">
        <w:r>
          <w:rPr>
            <w:color w:val="2E74B5"/>
            <w:u w:val="single"/>
          </w:rPr>
          <w:t>https://www.cbo.gov/publication/59757</w:t>
        </w:r>
      </w:hyperlink>
    </w:p>
    <w:p>
      <w:pPr>
        <w:pStyle w:val="References"/>
      </w:pPr>
      <w:r>
        <w:t xml:space="preserve">Congressional Budget Office. (2024a). </w:t>
      </w:r>
      <w:r>
        <w:rPr>
          <w:i/>
        </w:rPr>
        <w:t>Trends in the distribution of family wealth, 1989 to 2022</w:t>
      </w:r>
      <w:r>
        <w:t xml:space="preserve">. </w:t>
      </w:r>
      <w:hyperlink r:id="rId33">
        <w:r>
          <w:rPr>
            <w:color w:val="2E74B5"/>
            <w:u w:val="single"/>
          </w:rPr>
          <w:t>https://www.cbo.gov/publication/60343</w:t>
        </w:r>
      </w:hyperlink>
    </w:p>
    <w:p>
      <w:pPr>
        <w:pStyle w:val="References"/>
      </w:pPr>
      <w:r>
        <w:t xml:space="preserve">Congressional Budget Office. (2024b). </w:t>
      </w:r>
      <w:r>
        <w:rPr>
          <w:i/>
        </w:rPr>
        <w:t>The distribution of household income in 2018</w:t>
      </w:r>
      <w:r>
        <w:t xml:space="preserve">. </w:t>
      </w:r>
      <w:hyperlink r:id="rId34">
        <w:r>
          <w:rPr>
            <w:color w:val="2E74B5"/>
            <w:u w:val="single"/>
          </w:rPr>
          <w:t>https://www.cbo.gov/publication/57404</w:t>
        </w:r>
      </w:hyperlink>
    </w:p>
    <w:p>
      <w:pPr>
        <w:pStyle w:val="References"/>
      </w:pPr>
      <w:r>
        <w:t xml:space="preserve">Congressional Research Service. (2016). </w:t>
      </w:r>
      <w:r>
        <w:rPr>
          <w:i/>
        </w:rPr>
        <w:t>Conflicts of interest and the President</w:t>
      </w:r>
      <w:r>
        <w:t xml:space="preserve">. In Office of Government Ethics, </w:t>
      </w:r>
      <w:r>
        <w:rPr>
          <w:i/>
        </w:rPr>
        <w:t>Additional congressional correspondence</w:t>
      </w:r>
      <w:r>
        <w:t xml:space="preserve">. </w:t>
      </w:r>
      <w:hyperlink r:id="rId35">
        <w:r>
          <w:rPr>
            <w:color w:val="2E74B5"/>
            <w:u w:val="single"/>
          </w:rPr>
          <w:t>https://www.oge.gov/web/oge.nsf/0/1D1FA2EACDFAD1FE852585B6005A19E1/%24FILE/Adtl%20Congr%20Correspondence.pdf</w:t>
        </w:r>
      </w:hyperlink>
    </w:p>
    <w:p>
      <w:pPr>
        <w:pStyle w:val="References"/>
      </w:pPr>
      <w:r>
        <w:t xml:space="preserve">Congressional Research Service. (2020). </w:t>
      </w:r>
      <w:r>
        <w:rPr>
          <w:i/>
        </w:rPr>
        <w:t>The STOCK Act: Insider trading, financial reporting, and other restrictions</w:t>
      </w:r>
      <w:r>
        <w:t xml:space="preserve">. </w:t>
      </w:r>
      <w:hyperlink r:id="rId36">
        <w:r>
          <w:rPr>
            <w:color w:val="2E74B5"/>
            <w:u w:val="single"/>
          </w:rPr>
          <w:t>https://www.congress.gov/crs_external_products/IF/HTML/IF11422.html</w:t>
        </w:r>
      </w:hyperlink>
    </w:p>
    <w:p>
      <w:pPr>
        <w:pStyle w:val="References"/>
      </w:pPr>
      <w:r>
        <w:t xml:space="preserve">Congressional Research Service. (2021). </w:t>
      </w:r>
      <w:r>
        <w:rPr>
          <w:i/>
        </w:rPr>
        <w:t>The emoluments clauses of the U.S. Constitution</w:t>
      </w:r>
      <w:r>
        <w:t xml:space="preserve">. </w:t>
      </w:r>
      <w:hyperlink r:id="rId37">
        <w:r>
          <w:rPr>
            <w:color w:val="2E74B5"/>
            <w:u w:val="single"/>
          </w:rPr>
          <w:t>https://www.congress.gov/crs-product/R45992</w:t>
        </w:r>
      </w:hyperlink>
    </w:p>
    <w:p>
      <w:pPr>
        <w:pStyle w:val="References"/>
      </w:pPr>
      <w:r>
        <w:t xml:space="preserve">Congressional Research Service. (2025). </w:t>
      </w:r>
      <w:r>
        <w:rPr>
          <w:i/>
        </w:rPr>
        <w:t>U.S. agricultural aid in response to retaliatory tariffs</w:t>
      </w:r>
      <w:r>
        <w:t xml:space="preserve">. </w:t>
      </w:r>
      <w:hyperlink r:id="rId38">
        <w:r>
          <w:rPr>
            <w:color w:val="2E74B5"/>
            <w:u w:val="single"/>
          </w:rPr>
          <w:t>https://www.congress.gov/crs-product/R48548</w:t>
        </w:r>
      </w:hyperlink>
    </w:p>
    <w:p>
      <w:pPr>
        <w:pStyle w:val="References"/>
      </w:pPr>
      <w:r>
        <w:t xml:space="preserve">Congressional Research Service. (2025a). </w:t>
      </w:r>
      <w:r>
        <w:rPr>
          <w:i/>
        </w:rPr>
        <w:t>Salaries of members of Congress: Recent actions and historical tables</w:t>
      </w:r>
      <w:r>
        <w:t xml:space="preserve">. </w:t>
      </w:r>
      <w:hyperlink r:id="rId39">
        <w:r>
          <w:rPr>
            <w:color w:val="2E74B5"/>
            <w:u w:val="single"/>
          </w:rPr>
          <w:t>https://www.congress.gov/crs-products/product/pdf/RS/97-1011/87</w:t>
        </w:r>
      </w:hyperlink>
    </w:p>
    <w:p>
      <w:pPr>
        <w:pStyle w:val="References"/>
      </w:pPr>
      <w:r>
        <w:t xml:space="preserve">Congressional Research Service. (2026a). </w:t>
      </w:r>
      <w:r>
        <w:rPr>
          <w:i/>
        </w:rPr>
        <w:t>Recent Supreme Court decisions limiting federal anti-corruption and fraud statutes</w:t>
      </w:r>
      <w:r>
        <w:t xml:space="preserve">. </w:t>
      </w:r>
      <w:hyperlink r:id="rId40">
        <w:r>
          <w:rPr>
            <w:color w:val="2E74B5"/>
            <w:u w:val="single"/>
          </w:rPr>
          <w:t>https://www.congress.gov/crs-product/LSB11025</w:t>
        </w:r>
      </w:hyperlink>
    </w:p>
    <w:p>
      <w:pPr>
        <w:pStyle w:val="References"/>
      </w:pPr>
      <w:r>
        <w:t xml:space="preserve">Congressional Research Service. (2026b). </w:t>
      </w:r>
      <w:r>
        <w:rPr>
          <w:i/>
        </w:rPr>
        <w:t>Congressional salaries and allowances: In brief</w:t>
      </w:r>
      <w:r>
        <w:t xml:space="preserve">. </w:t>
      </w:r>
      <w:hyperlink r:id="rId41">
        <w:r>
          <w:rPr>
            <w:color w:val="2E74B5"/>
            <w:u w:val="single"/>
          </w:rPr>
          <w:t>https://www.congress.gov/crs-products/product/pdf/RL/RL30064/40</w:t>
        </w:r>
      </w:hyperlink>
    </w:p>
    <w:p>
      <w:pPr>
        <w:pStyle w:val="References"/>
      </w:pPr>
      <w:r>
        <w:t xml:space="preserve">Eggers, A. C., &amp; Hainmueller, J. (2014). Capitol losses: The mediocre performance of congressional stock portfolios. </w:t>
      </w:r>
      <w:r>
        <w:rPr>
          <w:i/>
        </w:rPr>
        <w:t>The Journal of Politics, 76</w:t>
      </w:r>
      <w:r>
        <w:t xml:space="preserve">(2), 535-551. </w:t>
      </w:r>
      <w:hyperlink r:id="rId42">
        <w:r>
          <w:rPr>
            <w:color w:val="2E74B5"/>
            <w:u w:val="single"/>
          </w:rPr>
          <w:t>https://doi.org/10.1017/S0022381613000194</w:t>
        </w:r>
      </w:hyperlink>
    </w:p>
    <w:p>
      <w:pPr>
        <w:pStyle w:val="References"/>
      </w:pPr>
      <w:r>
        <w:t xml:space="preserve">Fajgelbaum, P. D., Goldberg, P. K., Kennedy, P. J., &amp; Khandelwal, A. K. (2020). The return to protectionism. </w:t>
      </w:r>
      <w:r>
        <w:rPr>
          <w:i/>
        </w:rPr>
        <w:t>The Quarterly Journal of Economics, 135</w:t>
      </w:r>
      <w:r>
        <w:t xml:space="preserve">(1), 1-55. </w:t>
      </w:r>
      <w:hyperlink r:id="rId43">
        <w:r>
          <w:rPr>
            <w:color w:val="2E74B5"/>
            <w:u w:val="single"/>
          </w:rPr>
          <w:t>https://www.nber.org/papers/w25638</w:t>
        </w:r>
      </w:hyperlink>
    </w:p>
    <w:p>
      <w:pPr>
        <w:pStyle w:val="References"/>
      </w:pPr>
      <w:r>
        <w:t xml:space="preserve">Federal Bureau of Investigation. (n.d.-a). </w:t>
      </w:r>
      <w:r>
        <w:rPr>
          <w:i/>
        </w:rPr>
        <w:t>ABSCAM</w:t>
      </w:r>
      <w:r>
        <w:t xml:space="preserve">. </w:t>
      </w:r>
      <w:hyperlink r:id="rId44">
        <w:r>
          <w:rPr>
            <w:color w:val="2E74B5"/>
            <w:u w:val="single"/>
          </w:rPr>
          <w:t>https://www.fbi.gov/history/cases-and-criminals/abscam</w:t>
        </w:r>
      </w:hyperlink>
    </w:p>
    <w:p>
      <w:pPr>
        <w:pStyle w:val="References"/>
      </w:pPr>
      <w:r>
        <w:t xml:space="preserve">Federal Bureau of Investigation. (n.d.-b). </w:t>
      </w:r>
      <w:r>
        <w:rPr>
          <w:i/>
        </w:rPr>
        <w:t>William Jefferson</w:t>
      </w:r>
      <w:r>
        <w:t xml:space="preserve">. </w:t>
      </w:r>
      <w:hyperlink r:id="rId45">
        <w:r>
          <w:rPr>
            <w:color w:val="2E74B5"/>
            <w:u w:val="single"/>
          </w:rPr>
          <w:t>https://www.fbi.gov/history/cases-and-criminals/william-jefferson</w:t>
        </w:r>
      </w:hyperlink>
    </w:p>
    <w:p>
      <w:pPr>
        <w:pStyle w:val="References"/>
      </w:pPr>
      <w:r>
        <w:t xml:space="preserve">Federal Election Commission. (n.d.-a). </w:t>
      </w:r>
      <w:r>
        <w:rPr>
          <w:i/>
        </w:rPr>
        <w:t>Citizens United v. FEC</w:t>
      </w:r>
      <w:r>
        <w:t xml:space="preserve">. </w:t>
      </w:r>
      <w:hyperlink r:id="rId46">
        <w:r>
          <w:rPr>
            <w:color w:val="2E74B5"/>
            <w:u w:val="single"/>
          </w:rPr>
          <w:t>https://www.fec.gov/legal-resources/court-cases/citizens-united-v-fec/</w:t>
        </w:r>
      </w:hyperlink>
    </w:p>
    <w:p>
      <w:pPr>
        <w:pStyle w:val="References"/>
      </w:pPr>
      <w:r>
        <w:t xml:space="preserve">Federal Election Commission. (n.d.-b). </w:t>
      </w:r>
      <w:r>
        <w:rPr>
          <w:i/>
        </w:rPr>
        <w:t>Registering as a super PAC</w:t>
      </w:r>
      <w:r>
        <w:t xml:space="preserve">. </w:t>
      </w:r>
      <w:hyperlink r:id="rId47">
        <w:r>
          <w:rPr>
            <w:color w:val="2E74B5"/>
            <w:u w:val="single"/>
          </w:rPr>
          <w:t>https://www.fec.gov/help-candidates-and-committees/filing-pac-reports/registering-super-pac/</w:t>
        </w:r>
      </w:hyperlink>
    </w:p>
    <w:p>
      <w:pPr>
        <w:pStyle w:val="References"/>
      </w:pPr>
      <w:r>
        <w:t xml:space="preserve">Gilens, M., &amp; Page, B. I. (2014). Testing theories of American politics: Elites, interest groups, and average citizens. </w:t>
      </w:r>
      <w:r>
        <w:rPr>
          <w:i/>
        </w:rPr>
        <w:t>Perspectives on Politics, 12</w:t>
      </w:r>
      <w:r>
        <w:t xml:space="preserve">(3), 564-581. </w:t>
      </w:r>
      <w:hyperlink r:id="rId48">
        <w:r>
          <w:rPr>
            <w:color w:val="2E74B5"/>
            <w:u w:val="single"/>
          </w:rPr>
          <w:t>https://piketty.pse.ens.fr/files/GilensPage2014.pdf</w:t>
        </w:r>
      </w:hyperlink>
    </w:p>
    <w:p>
      <w:pPr>
        <w:pStyle w:val="References"/>
      </w:pPr>
      <w:r>
        <w:t xml:space="preserve">Hanousek, J., Shamshur, A., &amp; Tresl, J. (2021). </w:t>
      </w:r>
      <w:r>
        <w:rPr>
          <w:i/>
        </w:rPr>
        <w:t>Political insider trading</w:t>
      </w:r>
      <w:r>
        <w:t xml:space="preserve">. SSRN. </w:t>
      </w:r>
      <w:hyperlink r:id="rId49">
        <w:r>
          <w:rPr>
            <w:color w:val="2E74B5"/>
            <w:u w:val="single"/>
          </w:rPr>
          <w:t>https://papers.ssrn.com/sol3/papers.cfm?abstract_id=3808702</w:t>
        </w:r>
      </w:hyperlink>
    </w:p>
    <w:p>
      <w:pPr>
        <w:pStyle w:val="References"/>
      </w:pPr>
      <w:r>
        <w:t xml:space="preserve">Heitshusen, V. (2016). </w:t>
      </w:r>
      <w:r>
        <w:rPr>
          <w:i/>
        </w:rPr>
        <w:t>Sessions, adjournments, and recesses of Congress</w:t>
      </w:r>
      <w:r>
        <w:t xml:space="preserve">. Congressional Research Service. </w:t>
      </w:r>
      <w:hyperlink r:id="rId50">
        <w:r>
          <w:rPr>
            <w:color w:val="2E74B5"/>
            <w:u w:val="single"/>
          </w:rPr>
          <w:t>https://www.congress.gov/crs-product/R42977</w:t>
        </w:r>
      </w:hyperlink>
    </w:p>
    <w:p>
      <w:pPr>
        <w:pStyle w:val="References"/>
      </w:pPr>
      <w:r>
        <w:t xml:space="preserve">Lessig, L. (2013). "Institutional corruptions" defined. </w:t>
      </w:r>
      <w:r>
        <w:rPr>
          <w:i/>
        </w:rPr>
        <w:t>Journal of Law, Medicine &amp; Ethics, 41</w:t>
      </w:r>
      <w:r>
        <w:t xml:space="preserve">(3), 553-555. </w:t>
      </w:r>
      <w:hyperlink r:id="rId51">
        <w:r>
          <w:rPr>
            <w:color w:val="2E74B5"/>
            <w:u w:val="single"/>
          </w:rPr>
          <w:t>https://doi.org/10.1111/jlme.12063</w:t>
        </w:r>
      </w:hyperlink>
    </w:p>
    <w:p>
      <w:pPr>
        <w:pStyle w:val="References"/>
      </w:pPr>
      <w:r>
        <w:t xml:space="preserve">Office of Government Ethics. (2017). </w:t>
      </w:r>
      <w:r>
        <w:rPr>
          <w:i/>
        </w:rPr>
        <w:t>Remarks of Walter M. Shaub, Jr., on presidential conflicts of interest</w:t>
      </w:r>
      <w:r>
        <w:t xml:space="preserve">. </w:t>
      </w:r>
      <w:hyperlink r:id="rId52">
        <w:r>
          <w:rPr>
            <w:color w:val="2E74B5"/>
            <w:u w:val="single"/>
          </w:rPr>
          <w:t>https://www.oge.gov/web/OGE.nsf/News%20Releases/8A3A4F388D2B749C852585B6005A19A3/%24FILE/Remarks%20of%20W%20Shaub%20Jr%20%281%29.pdf?open=</w:t>
        </w:r>
      </w:hyperlink>
    </w:p>
    <w:p>
      <w:pPr>
        <w:pStyle w:val="References"/>
      </w:pPr>
      <w:r>
        <w:t xml:space="preserve">Office of Government Ethics. (2026a). </w:t>
      </w:r>
      <w:r>
        <w:rPr>
          <w:i/>
        </w:rPr>
        <w:t>Donald J. Trump annual public financial disclosure report</w:t>
      </w:r>
      <w:r>
        <w:t xml:space="preserve">. </w:t>
      </w:r>
      <w:hyperlink r:id="rId53">
        <w:r>
          <w:rPr>
            <w:color w:val="2E74B5"/>
            <w:u w:val="single"/>
          </w:rPr>
          <w:t>https://extapps2.oge.gov/201/Presiden.nsf/PAS%2BIndex/69AEAA9D7455ACD585258E27002DDEE1/%24FILE/Donald-J-Trump-2026-278ANNUAL.pdf</w:t>
        </w:r>
      </w:hyperlink>
    </w:p>
    <w:p>
      <w:pPr>
        <w:pStyle w:val="References"/>
      </w:pPr>
      <w:r>
        <w:t xml:space="preserve">Office of Government Ethics. (2026b). </w:t>
      </w:r>
      <w:r>
        <w:rPr>
          <w:i/>
        </w:rPr>
        <w:t>Donald J. Trump periodic transaction report, May 8, 2026</w:t>
      </w:r>
      <w:r>
        <w:t xml:space="preserve">. </w:t>
      </w:r>
      <w:hyperlink r:id="rId54">
        <w:r>
          <w:rPr>
            <w:color w:val="2E74B5"/>
            <w:u w:val="single"/>
          </w:rPr>
          <w:t>https://extapps2.oge.gov/201/Presiden.nsf/PAS%2BIndex/405E4EC4E27BE8D185258DF7002DD1C0/%24FILE/Trump%2C%20Donald%20J.-05.08.2026-278T%282%29.pdf</w:t>
        </w:r>
      </w:hyperlink>
    </w:p>
    <w:p>
      <w:pPr>
        <w:pStyle w:val="References"/>
      </w:pPr>
      <w:r>
        <w:t xml:space="preserve">Office of Personnel Management. (n.d.). </w:t>
      </w:r>
      <w:r>
        <w:rPr>
          <w:i/>
        </w:rPr>
        <w:t>Paid parental leave</w:t>
      </w:r>
      <w:r>
        <w:t xml:space="preserve">. </w:t>
      </w:r>
      <w:hyperlink r:id="rId55">
        <w:r>
          <w:rPr>
            <w:color w:val="2E74B5"/>
            <w:u w:val="single"/>
          </w:rPr>
          <w:t>https://www.opm.gov/policy-data-oversight/pay-leave/leave-administration/fact-sheets/paid-parental-leave/</w:t>
        </w:r>
      </w:hyperlink>
    </w:p>
    <w:p>
      <w:pPr>
        <w:pStyle w:val="References"/>
      </w:pPr>
      <w:r>
        <w:t xml:space="preserve">ProPublica. (2023, April 6). Clarence Thomas and the billionaire. </w:t>
      </w:r>
      <w:hyperlink r:id="rId56">
        <w:r>
          <w:rPr>
            <w:color w:val="2E74B5"/>
            <w:u w:val="single"/>
          </w:rPr>
          <w:t>https://www.propublica.org/article/clarence-thomas-scotus-undisclosed-luxury-travel-gifts-crow</w:t>
        </w:r>
      </w:hyperlink>
    </w:p>
    <w:p>
      <w:pPr>
        <w:pStyle w:val="References"/>
      </w:pPr>
      <w:r>
        <w:t xml:space="preserve">Schiff, A., &amp; Warren, E. (2025). </w:t>
      </w:r>
      <w:r>
        <w:rPr>
          <w:i/>
        </w:rPr>
        <w:t>Request for an Office of Government Ethics investigation of the president's memecoin dinner</w:t>
      </w:r>
      <w:r>
        <w:t xml:space="preserve">. </w:t>
      </w:r>
      <w:hyperlink r:id="rId57">
        <w:r>
          <w:rPr>
            <w:color w:val="2E74B5"/>
            <w:u w:val="single"/>
          </w:rPr>
          <w:t>https://www.schiff.senate.gov/news/press-releases/news-sens-schiff-warren-demand-federal-ethics-watchdog-investigate-trump-pay-to-play-dinner-for-meme-coin-holders/</w:t>
        </w:r>
      </w:hyperlink>
    </w:p>
    <w:p>
      <w:pPr>
        <w:pStyle w:val="References"/>
      </w:pPr>
      <w:r>
        <w:t xml:space="preserve">Supreme Court of the United States. (2023). </w:t>
      </w:r>
      <w:r>
        <w:rPr>
          <w:i/>
        </w:rPr>
        <w:t>Code of conduct for justices of the Supreme Court of the United States</w:t>
      </w:r>
      <w:r>
        <w:t xml:space="preserve">. </w:t>
      </w:r>
      <w:hyperlink r:id="rId58">
        <w:r>
          <w:rPr>
            <w:color w:val="2E74B5"/>
            <w:u w:val="single"/>
          </w:rPr>
          <w:t>https://www.supremecourt.gov/ABOUT/code-of-conduct-for-justices.aspx</w:t>
        </w:r>
      </w:hyperlink>
    </w:p>
    <w:p>
      <w:pPr>
        <w:pStyle w:val="References"/>
      </w:pPr>
      <w:r>
        <w:t xml:space="preserve">Supreme Court of the United States. (2024). </w:t>
      </w:r>
      <w:r>
        <w:rPr>
          <w:i/>
        </w:rPr>
        <w:t>Snyder v. United States, 603 U.S. 1</w:t>
      </w:r>
      <w:r>
        <w:t xml:space="preserve">. </w:t>
      </w:r>
      <w:hyperlink r:id="rId59">
        <w:r>
          <w:rPr>
            <w:color w:val="2E74B5"/>
            <w:u w:val="single"/>
          </w:rPr>
          <w:t>https://www.supremecourt.gov/opinions/23pdf/23-108_8n5a.pdf</w:t>
        </w:r>
      </w:hyperlink>
    </w:p>
    <w:p>
      <w:pPr>
        <w:pStyle w:val="References"/>
      </w:pPr>
      <w:r>
        <w:t xml:space="preserve">Supreme Court of the United States. (2026). </w:t>
      </w:r>
      <w:r>
        <w:rPr>
          <w:i/>
        </w:rPr>
        <w:t>Learning Resources, Inc. v. Trump, 607 U.S. ___</w:t>
      </w:r>
      <w:r>
        <w:t xml:space="preserve">. </w:t>
      </w:r>
      <w:hyperlink r:id="rId60">
        <w:r>
          <w:rPr>
            <w:color w:val="2E74B5"/>
            <w:u w:val="single"/>
          </w:rPr>
          <w:t>https://www.supremecourt.gov/opinions/25pdf/24-1287_4gcj.pdf</w:t>
        </w:r>
      </w:hyperlink>
    </w:p>
    <w:p>
      <w:pPr>
        <w:pStyle w:val="References"/>
      </w:pPr>
      <w:r>
        <w:t xml:space="preserve">Thompson, D. F. (2018). Theories of institutional corruption. </w:t>
      </w:r>
      <w:r>
        <w:rPr>
          <w:i/>
        </w:rPr>
        <w:t>Annual Review of Political Science, 21</w:t>
      </w:r>
      <w:r>
        <w:t xml:space="preserve">, 495-513. </w:t>
      </w:r>
      <w:hyperlink r:id="rId61">
        <w:r>
          <w:rPr>
            <w:color w:val="2E74B5"/>
            <w:u w:val="single"/>
          </w:rPr>
          <w:t>https://doi.org/10.1146/annurev-polisci-120117-110316</w:t>
        </w:r>
      </w:hyperlink>
    </w:p>
    <w:p>
      <w:pPr>
        <w:pStyle w:val="References"/>
      </w:pPr>
      <w:r>
        <w:t xml:space="preserve">U.S. Department of Justice. (2006a). </w:t>
      </w:r>
      <w:r>
        <w:rPr>
          <w:i/>
        </w:rPr>
        <w:t>Former Congressman Randall Harold Cunningham sentenced to 100 months in prison</w:t>
      </w:r>
      <w:r>
        <w:t xml:space="preserve">. </w:t>
      </w:r>
      <w:hyperlink r:id="rId62">
        <w:r>
          <w:rPr>
            <w:color w:val="2E74B5"/>
            <w:u w:val="single"/>
          </w:rPr>
          <w:t>https://www.justice.gov/archive/tax/usaopress/2006/txdv06cas60303.1.pdf</w:t>
        </w:r>
      </w:hyperlink>
    </w:p>
    <w:p>
      <w:pPr>
        <w:pStyle w:val="References"/>
      </w:pPr>
      <w:r>
        <w:t xml:space="preserve">U.S. Department of Justice. (2006b). </w:t>
      </w:r>
      <w:r>
        <w:rPr>
          <w:i/>
        </w:rPr>
        <w:t>Lobbyist Jack A. Abramoff pleads guilty to fraud, tax evasion, and conspiracy to bribe public officials</w:t>
      </w:r>
      <w:r>
        <w:t xml:space="preserve">. </w:t>
      </w:r>
      <w:hyperlink r:id="rId63">
        <w:r>
          <w:rPr>
            <w:color w:val="2E74B5"/>
            <w:u w:val="single"/>
          </w:rPr>
          <w:t>https://www.justice.gov/archive/opa/pr/2006/January/06_crm_002.html</w:t>
        </w:r>
      </w:hyperlink>
    </w:p>
    <w:p>
      <w:pPr>
        <w:pStyle w:val="References"/>
      </w:pPr>
      <w:r>
        <w:t xml:space="preserve">U.S. Department of Justice. (2011). </w:t>
      </w:r>
      <w:r>
        <w:rPr>
          <w:i/>
        </w:rPr>
        <w:t>United States v. Rod Blagojevich</w:t>
      </w:r>
      <w:r>
        <w:t xml:space="preserve">. </w:t>
      </w:r>
      <w:hyperlink r:id="rId64">
        <w:r>
          <w:rPr>
            <w:color w:val="2E74B5"/>
            <w:u w:val="single"/>
          </w:rPr>
          <w:t>https://www.justice.gov/archives/opa/pr/attorney-general-holder-recognizes-department-employees-and-others-their-service-annual-0</w:t>
        </w:r>
      </w:hyperlink>
    </w:p>
    <w:p>
      <w:pPr>
        <w:pStyle w:val="References"/>
      </w:pPr>
      <w:r>
        <w:t xml:space="preserve">U.S. Department of Justice. (2019). </w:t>
      </w:r>
      <w:r>
        <w:rPr>
          <w:i/>
        </w:rPr>
        <w:t>The investigation and resignation of Vice President Spiro T. Agnew</w:t>
      </w:r>
      <w:r>
        <w:t xml:space="preserve">. </w:t>
      </w:r>
      <w:hyperlink r:id="rId65">
        <w:r>
          <w:rPr>
            <w:color w:val="2E74B5"/>
            <w:u w:val="single"/>
          </w:rPr>
          <w:t>https://www.justice.gov/usao/page/file/1038771/dl</w:t>
        </w:r>
      </w:hyperlink>
    </w:p>
    <w:p>
      <w:pPr>
        <w:pStyle w:val="References"/>
      </w:pPr>
      <w:r>
        <w:t xml:space="preserve">U.S. Department of Justice. (2025, January 29). Former U.S. Senator Robert Menendez sentenced to 11 years in prison for bribery, foreign-agent, and obstruction offenses. </w:t>
      </w:r>
      <w:hyperlink r:id="rId66">
        <w:r>
          <w:rPr>
            <w:color w:val="2E74B5"/>
            <w:u w:val="single"/>
          </w:rPr>
          <w:t>https://www.justice.gov/usao-sdny/pr/former-us-senator-robert-menendez-sentenced-11-years-prison-bribery-foreign-agent-and</w:t>
        </w:r>
      </w:hyperlink>
    </w:p>
    <w:p>
      <w:pPr>
        <w:pStyle w:val="References"/>
      </w:pPr>
      <w:r>
        <w:t xml:space="preserve">U.S. Department of Justice. (n.d.). </w:t>
      </w:r>
      <w:r>
        <w:rPr>
          <w:i/>
        </w:rPr>
        <w:t>Office of the Pardon Attorney</w:t>
      </w:r>
      <w:r>
        <w:t xml:space="preserve">. </w:t>
      </w:r>
      <w:hyperlink r:id="rId67">
        <w:r>
          <w:rPr>
            <w:color w:val="2E74B5"/>
            <w:u w:val="single"/>
          </w:rPr>
          <w:t>https://www.justice.gov/pardon</w:t>
        </w:r>
      </w:hyperlink>
    </w:p>
    <w:p>
      <w:pPr>
        <w:pStyle w:val="References"/>
      </w:pPr>
      <w:r>
        <w:t xml:space="preserve">U.S. Department of Labor. (n.d.). </w:t>
      </w:r>
      <w:r>
        <w:rPr>
          <w:i/>
        </w:rPr>
        <w:t>Family and Medical Leave Act frequently asked questions</w:t>
      </w:r>
      <w:r>
        <w:t xml:space="preserve">. </w:t>
      </w:r>
      <w:hyperlink r:id="rId68">
        <w:r>
          <w:rPr>
            <w:color w:val="2E74B5"/>
            <w:u w:val="single"/>
          </w:rPr>
          <w:t>https://www.dol.gov/agencies/whd/fmla/faq</w:t>
        </w:r>
      </w:hyperlink>
    </w:p>
    <w:p>
      <w:pPr>
        <w:pStyle w:val="References"/>
      </w:pPr>
      <w:r>
        <w:t xml:space="preserve">U.S. Government Accountability Office. (2010). </w:t>
      </w:r>
      <w:r>
        <w:rPr>
          <w:i/>
        </w:rPr>
        <w:t>Former federal trade officials: Laws on post-employment activities, foreign representation, and lobbying</w:t>
      </w:r>
      <w:r>
        <w:t xml:space="preserve"> (GAO-10-766). </w:t>
      </w:r>
      <w:hyperlink r:id="rId69">
        <w:r>
          <w:rPr>
            <w:color w:val="2E74B5"/>
            <w:u w:val="single"/>
          </w:rPr>
          <w:t>https://www.gao.gov/products/gao-10-766</w:t>
        </w:r>
      </w:hyperlink>
    </w:p>
    <w:p>
      <w:pPr>
        <w:pStyle w:val="References"/>
      </w:pPr>
      <w:r>
        <w:t xml:space="preserve">U.S. Government Accountability Office. (2018). </w:t>
      </w:r>
      <w:r>
        <w:rPr>
          <w:i/>
        </w:rPr>
        <w:t>Large bank supervision: Improved implementation of Federal Reserve policies could help mitigate threats to independence</w:t>
      </w:r>
      <w:r>
        <w:t xml:space="preserve"> (GAO-18-118). </w:t>
      </w:r>
      <w:hyperlink r:id="rId70">
        <w:r>
          <w:rPr>
            <w:color w:val="2E74B5"/>
            <w:u w:val="single"/>
          </w:rPr>
          <w:t>https://www.gao.gov/assets/d18118.pdf</w:t>
        </w:r>
      </w:hyperlink>
    </w:p>
    <w:p>
      <w:pPr>
        <w:pStyle w:val="References"/>
      </w:pPr>
      <w:r>
        <w:t xml:space="preserve">U.S. Government Accountability Office. (2018b). As TARP turns 10, looking back at the U.S. government's assistance to the banking sector. </w:t>
      </w:r>
      <w:hyperlink r:id="rId71">
        <w:r>
          <w:rPr>
            <w:color w:val="2E74B5"/>
            <w:u w:val="single"/>
          </w:rPr>
          <w:t>https://www.gao.gov/blog/2018/10/03/as-tarp-turns-10-looking-back-at-the-u-s-governments-assistance-to-the-banking-sector</w:t>
        </w:r>
      </w:hyperlink>
    </w:p>
    <w:p>
      <w:pPr>
        <w:pStyle w:val="References"/>
      </w:pPr>
      <w:r>
        <w:t xml:space="preserve">U.S. Government Accountability Office. (2019a). </w:t>
      </w:r>
      <w:r>
        <w:rPr>
          <w:i/>
        </w:rPr>
        <w:t>Large bank supervision: OCC could better address risk of regulatory capture</w:t>
      </w:r>
      <w:r>
        <w:t xml:space="preserve"> (GAO-19-69). </w:t>
      </w:r>
      <w:hyperlink r:id="rId72">
        <w:r>
          <w:rPr>
            <w:color w:val="2E74B5"/>
            <w:u w:val="single"/>
          </w:rPr>
          <w:t>https://www.gao.gov/products/GAO-19-69</w:t>
        </w:r>
      </w:hyperlink>
    </w:p>
    <w:p>
      <w:pPr>
        <w:pStyle w:val="References"/>
      </w:pPr>
      <w:r>
        <w:t xml:space="preserve">U.S. Government Accountability Office. (2020a). </w:t>
      </w:r>
      <w:r>
        <w:rPr>
          <w:i/>
        </w:rPr>
        <w:t>Troubled Asset Relief Program: Treasury continues winding down housing programs</w:t>
      </w:r>
      <w:r>
        <w:t xml:space="preserve"> (GAO-21-39). </w:t>
      </w:r>
      <w:hyperlink r:id="rId73">
        <w:r>
          <w:rPr>
            <w:color w:val="2E74B5"/>
            <w:u w:val="single"/>
          </w:rPr>
          <w:t>https://www.gao.gov/products/gao-21-39</w:t>
        </w:r>
      </w:hyperlink>
    </w:p>
    <w:p>
      <w:pPr>
        <w:pStyle w:val="References"/>
      </w:pPr>
      <w:r>
        <w:t xml:space="preserve">U.S. Government Accountability Office. (2021). </w:t>
      </w:r>
      <w:r>
        <w:rPr>
          <w:i/>
        </w:rPr>
        <w:t>Paycheck Protection Program: Program changes increased lending to the smallest businesses and in underserved locations</w:t>
      </w:r>
      <w:r>
        <w:t xml:space="preserve"> (GAO-21-577). </w:t>
      </w:r>
      <w:hyperlink r:id="rId74">
        <w:r>
          <w:rPr>
            <w:color w:val="2E74B5"/>
            <w:u w:val="single"/>
          </w:rPr>
          <w:t>https://www.gao.gov/products/gao-21-577</w:t>
        </w:r>
      </w:hyperlink>
    </w:p>
    <w:p>
      <w:pPr>
        <w:pStyle w:val="References"/>
      </w:pPr>
      <w:r>
        <w:t xml:space="preserve">U.S. Government Accountability Office. (2022a). </w:t>
      </w:r>
      <w:r>
        <w:rPr>
          <w:i/>
        </w:rPr>
        <w:t>USDA Market Facilitation Program: Oversight of payments and data quality could be improved</w:t>
      </w:r>
      <w:r>
        <w:t xml:space="preserve"> (GAO-22-104259). </w:t>
      </w:r>
      <w:hyperlink r:id="rId75">
        <w:r>
          <w:rPr>
            <w:color w:val="2E74B5"/>
            <w:u w:val="single"/>
          </w:rPr>
          <w:t>https://www.gao.gov/products/gao-22-104259</w:t>
        </w:r>
      </w:hyperlink>
    </w:p>
    <w:p>
      <w:pPr>
        <w:pStyle w:val="References"/>
      </w:pPr>
      <w:r>
        <w:t xml:space="preserve">U.S. Government Accountability Office. (2022b). </w:t>
      </w:r>
      <w:r>
        <w:rPr>
          <w:i/>
        </w:rPr>
        <w:t>USDA Market Facilitation Program: Information on payments and payment limitations</w:t>
      </w:r>
      <w:r>
        <w:t xml:space="preserve"> (GAO-22-468). </w:t>
      </w:r>
      <w:hyperlink r:id="rId76">
        <w:r>
          <w:rPr>
            <w:color w:val="2E74B5"/>
            <w:u w:val="single"/>
          </w:rPr>
          <w:t>https://www.gao.gov/products/gao-22-468</w:t>
        </w:r>
      </w:hyperlink>
    </w:p>
    <w:p>
      <w:pPr>
        <w:pStyle w:val="References"/>
      </w:pPr>
      <w:r>
        <w:t xml:space="preserve">U.S. Government Accountability Office. (2023a). </w:t>
      </w:r>
      <w:r>
        <w:rPr>
          <w:i/>
        </w:rPr>
        <w:t>COVID-19 relief: Funding, spending, and fraud risks</w:t>
      </w:r>
      <w:r>
        <w:t xml:space="preserve"> (GAO-23-105331). </w:t>
      </w:r>
      <w:hyperlink r:id="rId77">
        <w:r>
          <w:rPr>
            <w:color w:val="2E74B5"/>
            <w:u w:val="single"/>
          </w:rPr>
          <w:t>https://www.gao.gov/products/gao-23-105331</w:t>
        </w:r>
      </w:hyperlink>
    </w:p>
    <w:p>
      <w:pPr>
        <w:pStyle w:val="References"/>
      </w:pPr>
      <w:r>
        <w:t xml:space="preserve">U.S. House Committee on Oversight and Accountability Democratic Staff. (2024). </w:t>
      </w:r>
      <w:r>
        <w:rPr>
          <w:i/>
        </w:rPr>
        <w:t>White House for sale: How princes, prime ministers, and premiers paid off President Trump</w:t>
      </w:r>
      <w:r>
        <w:t xml:space="preserve">. </w:t>
      </w:r>
      <w:hyperlink r:id="rId78">
        <w:r>
          <w:rPr>
            <w:color w:val="2E74B5"/>
            <w:u w:val="single"/>
          </w:rPr>
          <w:t>https://oversightdemocrats.house.gov/sites/evo-subsites/democrats-oversight.house.gov/files/2024-01-04.COA%20DEMS%20-%20Mazars%20Report.pdf</w:t>
        </w:r>
      </w:hyperlink>
    </w:p>
    <w:p>
      <w:pPr>
        <w:pStyle w:val="References"/>
      </w:pPr>
      <w:r>
        <w:t xml:space="preserve">U.S. Senate. (2025). </w:t>
      </w:r>
      <w:r>
        <w:rPr>
          <w:i/>
        </w:rPr>
        <w:t>Standing rules of the Senate</w:t>
      </w:r>
      <w:r>
        <w:t xml:space="preserve">. </w:t>
      </w:r>
      <w:hyperlink r:id="rId79">
        <w:r>
          <w:rPr>
            <w:color w:val="2E74B5"/>
            <w:u w:val="single"/>
          </w:rPr>
          <w:t>https://www.rules.senate.gov/rules-of-the-senate/</w:t>
        </w:r>
      </w:hyperlink>
    </w:p>
    <w:p>
      <w:pPr>
        <w:pStyle w:val="References"/>
      </w:pPr>
      <w:r>
        <w:t xml:space="preserve">U.S. Senate Committee on Finance. (2024a, June 12). Wyden probes Kushner firm payments from Gulf states and potential FARA loophole. </w:t>
      </w:r>
      <w:hyperlink r:id="rId80">
        <w:r>
          <w:rPr>
            <w:color w:val="2E74B5"/>
            <w:u w:val="single"/>
          </w:rPr>
          <w:t>https://www.finance.senate.gov/chairmans-news/wyden-probes-kushner-firm-payments-from-gulf-states-potential-fara-loophole</w:t>
        </w:r>
      </w:hyperlink>
    </w:p>
    <w:p>
      <w:pPr>
        <w:pStyle w:val="References"/>
      </w:pPr>
      <w:r>
        <w:t xml:space="preserve">U.S. Senate Committee on Finance. (2024b, September 25). Wyden investigation of Kushner firm continues. </w:t>
      </w:r>
      <w:hyperlink r:id="rId81">
        <w:r>
          <w:rPr>
            <w:color w:val="2E74B5"/>
            <w:u w:val="single"/>
          </w:rPr>
          <w:t>https://www.finance.senate.gov/chairmans-news/wyden-investigation-of-kushner-firm-continues-new-letter-outlines-affinity-partners-fee-structure-lack-of-return-to-investors-questionable-deals-with-foreign-governments</w:t>
        </w:r>
      </w:hyperlink>
    </w:p>
    <w:p>
      <w:pPr>
        <w:pStyle w:val="References"/>
      </w:pPr>
      <w:r>
        <w:t xml:space="preserve">U.S. Senate Committee on Small Business and Entrepreneurship. (2026, March). Ranking Member Markey calls on big businesses to pay back customers for tariff taxes. </w:t>
      </w:r>
      <w:hyperlink r:id="rId82">
        <w:r>
          <w:rPr>
            <w:color w:val="2E74B5"/>
            <w:u w:val="single"/>
          </w:rPr>
          <w:t>https://www.sbc.senate.gov/public/index.cfm/2026/3/ranking-member-markey-calls-on-big-businesses-to-pay-back-customers-for-trump-s-tariff-taxes</w:t>
        </w:r>
      </w:hyperlink>
    </w:p>
    <w:p>
      <w:pPr>
        <w:pStyle w:val="References"/>
      </w:pPr>
      <w:r>
        <w:t xml:space="preserve">U.S. Senate Committee on the Judiciary. (2024). </w:t>
      </w:r>
      <w:r>
        <w:rPr>
          <w:i/>
        </w:rPr>
        <w:t>An investigation of the ethics challenge at the Supreme Court</w:t>
      </w:r>
      <w:r>
        <w:t xml:space="preserve">. </w:t>
      </w:r>
      <w:hyperlink r:id="rId83">
        <w:r>
          <w:rPr>
            <w:color w:val="2E74B5"/>
            <w:u w:val="single"/>
          </w:rPr>
          <w:t>https://www.judiciary.senate.gov/imo/media/doc/An%20Investigation%20of%20the%20Ethics%20Challenge%20at%20the%20Supreme%20Court%20-%20Report%20Only_jqrj575wfhw4.pdf</w:t>
        </w:r>
      </w:hyperlink>
    </w:p>
    <w:p>
      <w:pPr>
        <w:pStyle w:val="References"/>
      </w:pPr>
      <w:r>
        <w:t xml:space="preserve">U.S. Senate Historical Office. (n.d.-a). </w:t>
      </w:r>
      <w:r>
        <w:rPr>
          <w:i/>
        </w:rPr>
        <w:t>The Senate Watergate Committee</w:t>
      </w:r>
      <w:r>
        <w:t xml:space="preserve">. </w:t>
      </w:r>
      <w:hyperlink r:id="rId84">
        <w:r>
          <w:rPr>
            <w:color w:val="2E74B5"/>
            <w:u w:val="single"/>
          </w:rPr>
          <w:t>https://www.senate.gov/about/powers-procedures/investigations/watergate.htm</w:t>
        </w:r>
      </w:hyperlink>
    </w:p>
    <w:p>
      <w:pPr>
        <w:pStyle w:val="References"/>
      </w:pPr>
      <w:r>
        <w:t xml:space="preserve">U.S. Senate Historical Office. (n.d.-b). </w:t>
      </w:r>
      <w:r>
        <w:rPr>
          <w:i/>
        </w:rPr>
        <w:t>The Senate creates the Select Committee on Intelligence</w:t>
      </w:r>
      <w:r>
        <w:t xml:space="preserve">. </w:t>
      </w:r>
      <w:hyperlink r:id="rId85">
        <w:r>
          <w:rPr>
            <w:color w:val="2E74B5"/>
            <w:u w:val="single"/>
          </w:rPr>
          <w:t>https://www.senate.gov/artandhistory/senate-stories/senate-creates-the-select-committee-on-intelligence.htm</w:t>
        </w:r>
      </w:hyperlink>
    </w:p>
    <w:p>
      <w:pPr>
        <w:pStyle w:val="References"/>
      </w:pPr>
      <w:r>
        <w:t xml:space="preserve">U.S. Senate Historical Office. (n.d.-c). </w:t>
      </w:r>
      <w:r>
        <w:rPr>
          <w:i/>
        </w:rPr>
        <w:t>Herman Talmadge censure case</w:t>
      </w:r>
      <w:r>
        <w:t xml:space="preserve">. </w:t>
      </w:r>
      <w:hyperlink r:id="rId86">
        <w:r>
          <w:rPr>
            <w:color w:val="2E74B5"/>
            <w:u w:val="single"/>
          </w:rPr>
          <w:t>https://www.senate.gov/about/powers-procedures/censure/139HermanTalmadge.htm</w:t>
        </w:r>
      </w:hyperlink>
    </w:p>
    <w:p>
      <w:pPr>
        <w:pStyle w:val="References"/>
      </w:pPr>
      <w:r>
        <w:t xml:space="preserve">U.S. Senate Historical Office. (n.d.-d). </w:t>
      </w:r>
      <w:r>
        <w:rPr>
          <w:i/>
        </w:rPr>
        <w:t>Expulsion from the Senate</w:t>
      </w:r>
      <w:r>
        <w:t xml:space="preserve">. </w:t>
      </w:r>
      <w:hyperlink r:id="rId87">
        <w:r>
          <w:rPr>
            <w:color w:val="2E74B5"/>
            <w:u w:val="single"/>
          </w:rPr>
          <w:t>https://www.senate.gov/about/powers-procedures/expulsion.htm</w:t>
        </w:r>
      </w:hyperlink>
    </w:p>
    <w:p>
      <w:pPr>
        <w:pStyle w:val="References"/>
      </w:pPr>
      <w:r>
        <w:t xml:space="preserve">U.S. Senate Select Committee on Ethics. (2003). </w:t>
      </w:r>
      <w:r>
        <w:rPr>
          <w:i/>
        </w:rPr>
        <w:t>Senate ethics manual</w:t>
      </w:r>
      <w:r>
        <w:t xml:space="preserve">. </w:t>
      </w:r>
      <w:hyperlink r:id="rId88">
        <w:r>
          <w:rPr>
            <w:color w:val="2E74B5"/>
            <w:u w:val="single"/>
          </w:rPr>
          <w:t>https://www.ethics.senate.gov/downloads/pdffiles/manual.pdf</w:t>
        </w:r>
      </w:hyperlink>
    </w:p>
    <w:p>
      <w:pPr>
        <w:pStyle w:val="References"/>
      </w:pPr>
      <w:r>
        <w:t xml:space="preserve">U.S. Senate Select Committee on Ethics. (2008). </w:t>
      </w:r>
      <w:r>
        <w:rPr>
          <w:i/>
        </w:rPr>
        <w:t>The Senate ethics process and committee history</w:t>
      </w:r>
      <w:r>
        <w:t xml:space="preserve">. </w:t>
      </w:r>
      <w:hyperlink r:id="rId89">
        <w:r>
          <w:rPr>
            <w:color w:val="2E74B5"/>
            <w:u w:val="single"/>
          </w:rPr>
          <w:t>https://www.ethics.senate.gov/public/index.cfm/files/serve?File_id=f2eb14e3-1123-48eb-9334-8c4717102a6e</w:t>
        </w:r>
      </w:hyperlink>
    </w:p>
    <w:p>
      <w:pPr>
        <w:pStyle w:val="References"/>
      </w:pPr>
      <w:r>
        <w:t xml:space="preserve">Warren, E., Schiff, A., &amp; Blumenthal, R. (2025). </w:t>
      </w:r>
      <w:r>
        <w:rPr>
          <w:i/>
        </w:rPr>
        <w:t>Investigation request concerning the Trump memecoin conference</w:t>
      </w:r>
      <w:r>
        <w:t xml:space="preserve">. </w:t>
      </w:r>
      <w:hyperlink r:id="rId90">
        <w:r>
          <w:rPr>
            <w:color w:val="2E74B5"/>
            <w:u w:val="single"/>
          </w:rPr>
          <w:t>https://www.banking.senate.gov/newsroom/minority/warren-schiff-and-blumenthal-investigate-trump-mar-a-lago-memecoin-conference</w:t>
        </w:r>
      </w:hyperlink>
    </w:p>
    <w:p>
      <w:pPr>
        <w:pStyle w:val="References"/>
      </w:pPr>
      <w:r>
        <w:t xml:space="preserve">Ziobrowski, A. J., Cheng, P., Boyd, J. W., &amp; Ziobrowski, B. J. (2004). Abnormal returns from the common stock investments of the U.S. Senate. </w:t>
      </w:r>
      <w:r>
        <w:rPr>
          <w:i/>
        </w:rPr>
        <w:t>Journal of Financial and Quantitative Analysis, 39</w:t>
      </w:r>
      <w:r>
        <w:t>(4), 661-676.</w:t>
      </w:r>
    </w:p>
    <w:p>
      <w:pPr>
        <w:pStyle w:val="References"/>
      </w:pPr>
      <w:r>
        <w:t xml:space="preserve">Ziobrowski, A. J., Boyd, J. W., Cheng, P., &amp; Ziobrowski, B. J. (2011). Abnormal returns from the common stock investments of members of the U.S. House of Representatives. </w:t>
      </w:r>
      <w:r>
        <w:rPr>
          <w:i/>
        </w:rPr>
        <w:t>Business and Politics, 13</w:t>
      </w:r>
      <w:r>
        <w:t xml:space="preserve">(1), 1-36. </w:t>
      </w:r>
      <w:hyperlink r:id="rId91">
        <w:r>
          <w:rPr>
            <w:color w:val="2E74B5"/>
            <w:u w:val="single"/>
          </w:rPr>
          <w:t>https://www.cambridge.org/core/services/aop-cambridge-core/content/view/BC6C6A524BBE96738BB94D37EF0FD1A5/S1369525800003156a.pdf/abnormal-returns-from-the-common-stock-investments-of-members-of-the-us-house-of-representatives.pdf</w:t>
        </w:r>
      </w:hyperlink>
    </w:p>
    <w:p>
      <w:r>
        <w:br w:type="page"/>
      </w:r>
    </w:p>
    <w:p>
      <w:pPr>
        <w:pStyle w:val="Heading1"/>
      </w:pPr>
      <w:r>
        <w:t>Appendix A. Condensed Chronology</w:t>
      </w:r>
    </w:p>
    <w:p>
      <w:pPr>
        <w:pStyle w:val="ListBullet"/>
      </w:pPr>
      <w:r>
        <w:rPr>
          <w:b/>
        </w:rPr>
        <w:t>1963-1964:</w:t>
      </w:r>
      <w:r>
        <w:t xml:space="preserve"> The Bobby Baker investigation exposes financial and influence conflicts inside Senate leadership and contributes to creation of a permanent Senate ethics committee.</w:t>
      </w:r>
    </w:p>
    <w:p>
      <w:pPr>
        <w:pStyle w:val="ListBullet"/>
      </w:pPr>
      <w:r>
        <w:rPr>
          <w:b/>
        </w:rPr>
        <w:t>1973:</w:t>
      </w:r>
      <w:r>
        <w:t xml:space="preserve"> Vice President Spiro Agnew resigns and pleads no contest to tax evasion; the Senate Watergate hearings expose executive and campaign abuses.</w:t>
      </w:r>
    </w:p>
    <w:p>
      <w:pPr>
        <w:pStyle w:val="ListBullet"/>
      </w:pPr>
      <w:r>
        <w:rPr>
          <w:b/>
        </w:rPr>
        <w:t>1975-1976:</w:t>
      </w:r>
      <w:r>
        <w:t xml:space="preserve"> The Church Committee documents intelligence abuses and helps establish permanent intelligence oversight.</w:t>
      </w:r>
    </w:p>
    <w:p>
      <w:pPr>
        <w:pStyle w:val="ListBullet"/>
      </w:pPr>
      <w:r>
        <w:rPr>
          <w:b/>
        </w:rPr>
        <w:t>1979:</w:t>
      </w:r>
      <w:r>
        <w:t xml:space="preserve"> The Senate censures Herman Talmadge for financial misconduct.</w:t>
      </w:r>
    </w:p>
    <w:p>
      <w:pPr>
        <w:pStyle w:val="ListBullet"/>
      </w:pPr>
      <w:r>
        <w:rPr>
          <w:b/>
        </w:rPr>
        <w:t>1980-1981:</w:t>
      </w:r>
      <w:r>
        <w:t xml:space="preserve"> ABSCAM produces convictions of members of Congress and other officials.</w:t>
      </w:r>
    </w:p>
    <w:p>
      <w:pPr>
        <w:pStyle w:val="ListBullet"/>
      </w:pPr>
      <w:r>
        <w:rPr>
          <w:b/>
        </w:rPr>
        <w:t>1986-1992:</w:t>
      </w:r>
      <w:r>
        <w:t xml:space="preserve"> Iran-Contra exposes covert circumvention of Congress; President George H. W. Bush pardons six defendants.</w:t>
      </w:r>
    </w:p>
    <w:p>
      <w:pPr>
        <w:pStyle w:val="ListBullet"/>
      </w:pPr>
      <w:r>
        <w:rPr>
          <w:b/>
        </w:rPr>
        <w:t>1989-1991:</w:t>
      </w:r>
      <w:r>
        <w:t xml:space="preserve"> The Keating Five investigation exposes donor access and pressure on savings-and-loan regulators.</w:t>
      </w:r>
    </w:p>
    <w:p>
      <w:pPr>
        <w:pStyle w:val="ListBullet"/>
      </w:pPr>
      <w:r>
        <w:rPr>
          <w:b/>
        </w:rPr>
        <w:t>2005-2008:</w:t>
      </w:r>
      <w:r>
        <w:t xml:space="preserve"> Cunningham, Abramoff, Ney, Jefferson, and related cases expose bribery and the professional access market.</w:t>
      </w:r>
    </w:p>
    <w:p>
      <w:pPr>
        <w:pStyle w:val="ListBullet"/>
      </w:pPr>
      <w:r>
        <w:rPr>
          <w:b/>
        </w:rPr>
        <w:t>2008-2010:</w:t>
      </w:r>
      <w:r>
        <w:t xml:space="preserve"> Financial rescue stabilizes institutions while homeowner relief proves slower and smaller.</w:t>
      </w:r>
    </w:p>
    <w:p>
      <w:pPr>
        <w:pStyle w:val="ListBullet"/>
      </w:pPr>
      <w:r>
        <w:rPr>
          <w:b/>
        </w:rPr>
        <w:t>2010:</w:t>
      </w:r>
      <w:r>
        <w:t xml:space="preserve"> </w:t>
      </w:r>
      <w:r>
        <w:rPr>
          <w:i/>
        </w:rPr>
        <w:t>Citizens United</w:t>
      </w:r>
      <w:r>
        <w:t xml:space="preserve"> expands independent political spending.</w:t>
      </w:r>
    </w:p>
    <w:p>
      <w:pPr>
        <w:pStyle w:val="ListBullet"/>
      </w:pPr>
      <w:r>
        <w:rPr>
          <w:b/>
        </w:rPr>
        <w:t>2012:</w:t>
      </w:r>
      <w:r>
        <w:t xml:space="preserve"> The STOCK Act affirms congressional insider-trading liability and creates transaction disclosure without prohibiting individual stock ownership.</w:t>
      </w:r>
    </w:p>
    <w:p>
      <w:pPr>
        <w:pStyle w:val="ListBullet"/>
      </w:pPr>
      <w:r>
        <w:rPr>
          <w:b/>
        </w:rPr>
        <w:t>2016-2024:</w:t>
      </w:r>
      <w:r>
        <w:t xml:space="preserve"> Supreme Court decisions progressively narrow official-act, fraud, gratuity, and honest-services theories.</w:t>
      </w:r>
    </w:p>
    <w:p>
      <w:pPr>
        <w:pStyle w:val="ListBullet"/>
      </w:pPr>
      <w:r>
        <w:rPr>
          <w:b/>
        </w:rPr>
        <w:t>2017-2021:</w:t>
      </w:r>
      <w:r>
        <w:t xml:space="preserve"> Trump retains ownership interests while foreign-government-linked payments flow to businesses bearing his name.</w:t>
      </w:r>
    </w:p>
    <w:p>
      <w:pPr>
        <w:pStyle w:val="ListBullet"/>
      </w:pPr>
      <w:r>
        <w:rPr>
          <w:b/>
        </w:rPr>
        <w:t>2018-2020:</w:t>
      </w:r>
      <w:r>
        <w:t xml:space="preserve"> Tariff costs are passed through to U.S. purchasers; public trade-aid programs compensate selected producers.</w:t>
      </w:r>
    </w:p>
    <w:p>
      <w:pPr>
        <w:pStyle w:val="ListBullet"/>
      </w:pPr>
      <w:r>
        <w:rPr>
          <w:b/>
        </w:rPr>
        <w:t>2020-2021:</w:t>
      </w:r>
      <w:r>
        <w:t xml:space="preserve"> Pandemic relief prevents collapse, but PPP distributes most benefits outside workers who would otherwise lose jobs and suffers extensive fraud risk.</w:t>
      </w:r>
    </w:p>
    <w:p>
      <w:pPr>
        <w:pStyle w:val="ListBullet"/>
      </w:pPr>
      <w:r>
        <w:rPr>
          <w:b/>
        </w:rPr>
        <w:t>2023:</w:t>
      </w:r>
      <w:r>
        <w:t xml:space="preserve"> The Supreme Court adopts a written ethics code after gift and disclosure controversies.</w:t>
      </w:r>
    </w:p>
    <w:p>
      <w:pPr>
        <w:pStyle w:val="ListBullet"/>
      </w:pPr>
      <w:r>
        <w:rPr>
          <w:b/>
        </w:rPr>
        <w:t>2024-2025:</w:t>
      </w:r>
      <w:r>
        <w:t xml:space="preserve"> Menendez is convicted and sentenced; investigations document foreign-money channels involving presidential families while evidentiary strength varies by case.</w:t>
      </w:r>
    </w:p>
    <w:p>
      <w:pPr>
        <w:pStyle w:val="ListBullet"/>
      </w:pPr>
      <w:r>
        <w:rPr>
          <w:b/>
        </w:rPr>
        <w:t>2025-2026:</w:t>
      </w:r>
      <w:r>
        <w:t xml:space="preserve"> Trump-affiliated crypto, memecoins, securities, media holdings, and access arrangements expand the scale and speed of presidential conflict risk.</w:t>
      </w:r>
    </w:p>
    <w:p>
      <w:pPr>
        <w:pStyle w:val="ListBullet"/>
      </w:pPr>
      <w:r>
        <w:rPr>
          <w:b/>
        </w:rPr>
        <w:t>2026:</w:t>
      </w:r>
      <w:r>
        <w:t xml:space="preserve"> A major tariff refund dispute reveals the gap between the firms legally entitled to refunds and consumers who economically bore passed-through costs; McConnell's extended absence highlights the absence of a congressional capacity-and-continuity rule.</w:t>
      </w:r>
    </w:p>
    <w:p>
      <w:pPr>
        <w:pStyle w:val="Heading1"/>
      </w:pPr>
      <w:r>
        <w:t>Appendix B. Claim-Interpretation Guide</w:t>
      </w:r>
    </w:p>
    <w:p>
      <w:pPr/>
      <w:r>
        <w:t xml:space="preserve">When the paper says a payment, trade, or absence is </w:t>
      </w:r>
      <w:r>
        <w:rPr>
          <w:b/>
        </w:rPr>
        <w:t>documented</w:t>
      </w:r>
      <w:r>
        <w:t xml:space="preserve">, it refers to an official disclosure, government record, authenticated filing, or undisputed event. When it calls conduct </w:t>
      </w:r>
      <w:r>
        <w:rPr>
          <w:b/>
        </w:rPr>
        <w:t>institutionally corrupt</w:t>
      </w:r>
      <w:r>
        <w:t xml:space="preserve">, it is applying the public-purpose and dependency framework, not asserting that a court entered a criminal judgment. When it uses </w:t>
      </w:r>
      <w:r>
        <w:rPr>
          <w:b/>
        </w:rPr>
        <w:t>insider trading</w:t>
      </w:r>
      <w:r>
        <w:t xml:space="preserve"> for congressional activity, it applies the substantive stipulation in Section 2.3. When it describes a </w:t>
      </w:r>
      <w:r>
        <w:rPr>
          <w:b/>
        </w:rPr>
        <w:t>transfer of wealth</w:t>
      </w:r>
      <w:r>
        <w:t>, it refers to measured economic incidence, not necessarily theft or a secret conspiracy.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D6675"/>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D6675"/>
        <w:sz w:val="16"/>
      </w:rPr>
      <w:t>CORRUPTION IN AMERICAN POLITICS SINCE 1960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320" w:lineRule="auto"/>
      <w:jc w:val="both"/>
    </w:pPr>
    <w:rPr>
      <w:rFonts w:ascii="Calibri" w:hAnsi="Calibri" w:eastAsia="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basedOn w:val="Normal"/>
    <w:pPr>
      <w:spacing w:after="140" w:line="276" w:lineRule="auto"/>
      <w:ind w:left="504" w:hanging="504"/>
    </w:pPr>
    <w:rPr>
      <w:rFonts w:ascii="Calibri" w:hAnsi="Calibri"/>
      <w:sz w:val="20"/>
    </w:rPr>
  </w:style>
  <w:style w:type="paragraph" w:customStyle="1" w:styleId="Abstract">
    <w:name w:val="Abstract"/>
    <w:basedOn w:val="Normal"/>
    <w:pPr>
      <w:spacing w:line="300" w:lineRule="auto"/>
      <w:ind w:left="504" w:right="504"/>
    </w:pPr>
    <w:rPr>
      <w:rFonts w:ascii="Calibri" w:hAnsi="Calibri"/>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deas.repec.org/a/bla/stratm/v44y2023i5p1168-1198.html" TargetMode="External"/><Relationship Id="rId12" Type="http://schemas.openxmlformats.org/officeDocument/2006/relationships/hyperlink" Target="https://doi.org/10.1257/jep.33.4.187" TargetMode="External"/><Relationship Id="rId13" Type="http://schemas.openxmlformats.org/officeDocument/2006/relationships/hyperlink" Target="https://apnews.com/article/b5116eb6d686750b75b944a12eed5a9e" TargetMode="External"/><Relationship Id="rId14" Type="http://schemas.openxmlformats.org/officeDocument/2006/relationships/hyperlink" Target="https://apnews.com/article/17a52c24f2da5927e0665657848a1231" TargetMode="External"/><Relationship Id="rId15" Type="http://schemas.openxmlformats.org/officeDocument/2006/relationships/hyperlink" Target="https://apnews.com/article/d0873c92792f6c0791c9269fe05ed937" TargetMode="External"/><Relationship Id="rId16" Type="http://schemas.openxmlformats.org/officeDocument/2006/relationships/hyperlink" Target="https://apnews.com/article/91e49ee112197ae1210a9abfa46986ed" TargetMode="External"/><Relationship Id="rId17" Type="http://schemas.openxmlformats.org/officeDocument/2006/relationships/hyperlink" Target="https://apnews.com/article/3400cf5d498cc9934c0f16be1326bfe9" TargetMode="External"/><Relationship Id="rId18" Type="http://schemas.openxmlformats.org/officeDocument/2006/relationships/hyperlink" Target="https://apnews.com/article/060c15062b8fedc6104159ea13775463" TargetMode="External"/><Relationship Id="rId19" Type="http://schemas.openxmlformats.org/officeDocument/2006/relationships/hyperlink" Target="https://apnews.com/article/8b8b54fae333d1200f4c1b509991b544" TargetMode="External"/><Relationship Id="rId20" Type="http://schemas.openxmlformats.org/officeDocument/2006/relationships/hyperlink" Target="https://apnews.com/article/trump-personal-profits-anti-weaponization-fund-7d47cc89f207b0b3749fdeefdf4de4c7" TargetMode="External"/><Relationship Id="rId21" Type="http://schemas.openxmlformats.org/officeDocument/2006/relationships/hyperlink" Target="https://apnews.com/article/435c34b570308d57895212baea601854" TargetMode="External"/><Relationship Id="rId22" Type="http://schemas.openxmlformats.org/officeDocument/2006/relationships/hyperlink" Target="https://apnews.com/article/d4162f466eb83aa97e430a86221ad226" TargetMode="External"/><Relationship Id="rId23" Type="http://schemas.openxmlformats.org/officeDocument/2006/relationships/hyperlink" Target="https://apnews.com/article/0f22b78f636d962c548cd8505a854d8a" TargetMode="External"/><Relationship Id="rId24" Type="http://schemas.openxmlformats.org/officeDocument/2006/relationships/hyperlink" Target="https://www.nber.org/papers/w29669" TargetMode="External"/><Relationship Id="rId25" Type="http://schemas.openxmlformats.org/officeDocument/2006/relationships/hyperlink" Target="https://www.axios.com/2026/08/06/mcconnell-discharged-rehab-center-health" TargetMode="External"/><Relationship Id="rId26" Type="http://schemas.openxmlformats.org/officeDocument/2006/relationships/hyperlink" Target="https://www.federalreserve.gov/econres/notes/feds-notes/wealth-inequality-and-covid-19-evidence-from-the-distributional-financial-accounts-20210830.html" TargetMode="External"/><Relationship Id="rId27" Type="http://schemas.openxmlformats.org/officeDocument/2006/relationships/hyperlink" Target="https://www.bls.gov/ebs/factsheets/paid-sick-leave.htm" TargetMode="External"/><Relationship Id="rId28" Type="http://schemas.openxmlformats.org/officeDocument/2006/relationships/hyperlink" Target="https://www.bls.gov/charts/employee-benefits/percent-access-paid-leave-by-wage.htm" TargetMode="External"/><Relationship Id="rId29" Type="http://schemas.openxmlformats.org/officeDocument/2006/relationships/hyperlink" Target="https://campaignlegal.org/update/part-2-stock-act-failed-effort-stop-insider-trading-congress" TargetMode="External"/><Relationship Id="rId30" Type="http://schemas.openxmlformats.org/officeDocument/2006/relationships/hyperlink" Target="https://campaignlegal.org/update/congressional-stock-trading-continues-raise-conflicts-interest-concerns" TargetMode="External"/><Relationship Id="rId31" Type="http://schemas.openxmlformats.org/officeDocument/2006/relationships/hyperlink" Target="https://disclosures-clerk.house.gov/public_disc/ptr-pdfs/2024/20025368.pdf" TargetMode="External"/><Relationship Id="rId32" Type="http://schemas.openxmlformats.org/officeDocument/2006/relationships/hyperlink" Target="https://www.cbo.gov/publication/59757" TargetMode="External"/><Relationship Id="rId33" Type="http://schemas.openxmlformats.org/officeDocument/2006/relationships/hyperlink" Target="https://www.cbo.gov/publication/60343" TargetMode="External"/><Relationship Id="rId34" Type="http://schemas.openxmlformats.org/officeDocument/2006/relationships/hyperlink" Target="https://www.cbo.gov/publication/57404" TargetMode="External"/><Relationship Id="rId35" Type="http://schemas.openxmlformats.org/officeDocument/2006/relationships/hyperlink" Target="https://www.oge.gov/web/oge.nsf/0/1D1FA2EACDFAD1FE852585B6005A19E1/%24FILE/Adtl%20Congr%20Correspondence.pdf" TargetMode="External"/><Relationship Id="rId36" Type="http://schemas.openxmlformats.org/officeDocument/2006/relationships/hyperlink" Target="https://www.congress.gov/crs_external_products/IF/HTML/IF11422.html" TargetMode="External"/><Relationship Id="rId37" Type="http://schemas.openxmlformats.org/officeDocument/2006/relationships/hyperlink" Target="https://www.congress.gov/crs-product/R45992" TargetMode="External"/><Relationship Id="rId38" Type="http://schemas.openxmlformats.org/officeDocument/2006/relationships/hyperlink" Target="https://www.congress.gov/crs-product/R48548" TargetMode="External"/><Relationship Id="rId39" Type="http://schemas.openxmlformats.org/officeDocument/2006/relationships/hyperlink" Target="https://www.congress.gov/crs-products/product/pdf/RS/97-1011/87" TargetMode="External"/><Relationship Id="rId40" Type="http://schemas.openxmlformats.org/officeDocument/2006/relationships/hyperlink" Target="https://www.congress.gov/crs-product/LSB11025" TargetMode="External"/><Relationship Id="rId41" Type="http://schemas.openxmlformats.org/officeDocument/2006/relationships/hyperlink" Target="https://www.congress.gov/crs-products/product/pdf/RL/RL30064/40" TargetMode="External"/><Relationship Id="rId42" Type="http://schemas.openxmlformats.org/officeDocument/2006/relationships/hyperlink" Target="https://doi.org/10.1017/S0022381613000194" TargetMode="External"/><Relationship Id="rId43" Type="http://schemas.openxmlformats.org/officeDocument/2006/relationships/hyperlink" Target="https://www.nber.org/papers/w25638" TargetMode="External"/><Relationship Id="rId44" Type="http://schemas.openxmlformats.org/officeDocument/2006/relationships/hyperlink" Target="https://www.fbi.gov/history/cases-and-criminals/abscam" TargetMode="External"/><Relationship Id="rId45" Type="http://schemas.openxmlformats.org/officeDocument/2006/relationships/hyperlink" Target="https://www.fbi.gov/history/cases-and-criminals/william-jefferson" TargetMode="External"/><Relationship Id="rId46" Type="http://schemas.openxmlformats.org/officeDocument/2006/relationships/hyperlink" Target="https://www.fec.gov/legal-resources/court-cases/citizens-united-v-fec/" TargetMode="External"/><Relationship Id="rId47" Type="http://schemas.openxmlformats.org/officeDocument/2006/relationships/hyperlink" Target="https://www.fec.gov/help-candidates-and-committees/filing-pac-reports/registering-super-pac/" TargetMode="External"/><Relationship Id="rId48" Type="http://schemas.openxmlformats.org/officeDocument/2006/relationships/hyperlink" Target="https://piketty.pse.ens.fr/files/GilensPage2014.pdf" TargetMode="External"/><Relationship Id="rId49" Type="http://schemas.openxmlformats.org/officeDocument/2006/relationships/hyperlink" Target="https://papers.ssrn.com/sol3/papers.cfm?abstract_id=3808702" TargetMode="External"/><Relationship Id="rId50" Type="http://schemas.openxmlformats.org/officeDocument/2006/relationships/hyperlink" Target="https://www.congress.gov/crs-product/R42977" TargetMode="External"/><Relationship Id="rId51" Type="http://schemas.openxmlformats.org/officeDocument/2006/relationships/hyperlink" Target="https://doi.org/10.1111/jlme.12063" TargetMode="External"/><Relationship Id="rId52" Type="http://schemas.openxmlformats.org/officeDocument/2006/relationships/hyperlink" Target="https://www.oge.gov/web/OGE.nsf/News%20Releases/8A3A4F388D2B749C852585B6005A19A3/%24FILE/Remarks%20of%20W%20Shaub%20Jr%20%281%29.pdf?open=" TargetMode="External"/><Relationship Id="rId53" Type="http://schemas.openxmlformats.org/officeDocument/2006/relationships/hyperlink" Target="https://extapps2.oge.gov/201/Presiden.nsf/PAS%2BIndex/69AEAA9D7455ACD585258E27002DDEE1/%24FILE/Donald-J-Trump-2026-278ANNUAL.pdf" TargetMode="External"/><Relationship Id="rId54" Type="http://schemas.openxmlformats.org/officeDocument/2006/relationships/hyperlink" Target="https://extapps2.oge.gov/201/Presiden.nsf/PAS%2BIndex/405E4EC4E27BE8D185258DF7002DD1C0/%24FILE/Trump%2C%20Donald%20J.-05.08.2026-278T%282%29.pdf" TargetMode="External"/><Relationship Id="rId55" Type="http://schemas.openxmlformats.org/officeDocument/2006/relationships/hyperlink" Target="https://www.opm.gov/policy-data-oversight/pay-leave/leave-administration/fact-sheets/paid-parental-leave/" TargetMode="External"/><Relationship Id="rId56" Type="http://schemas.openxmlformats.org/officeDocument/2006/relationships/hyperlink" Target="https://www.propublica.org/article/clarence-thomas-scotus-undisclosed-luxury-travel-gifts-crow" TargetMode="External"/><Relationship Id="rId57" Type="http://schemas.openxmlformats.org/officeDocument/2006/relationships/hyperlink" Target="https://www.schiff.senate.gov/news/press-releases/news-sens-schiff-warren-demand-federal-ethics-watchdog-investigate-trump-pay-to-play-dinner-for-meme-coin-holders/" TargetMode="External"/><Relationship Id="rId58" Type="http://schemas.openxmlformats.org/officeDocument/2006/relationships/hyperlink" Target="https://www.supremecourt.gov/ABOUT/code-of-conduct-for-justices.aspx" TargetMode="External"/><Relationship Id="rId59" Type="http://schemas.openxmlformats.org/officeDocument/2006/relationships/hyperlink" Target="https://www.supremecourt.gov/opinions/23pdf/23-108_8n5a.pdf" TargetMode="External"/><Relationship Id="rId60" Type="http://schemas.openxmlformats.org/officeDocument/2006/relationships/hyperlink" Target="https://www.supremecourt.gov/opinions/25pdf/24-1287_4gcj.pdf" TargetMode="External"/><Relationship Id="rId61" Type="http://schemas.openxmlformats.org/officeDocument/2006/relationships/hyperlink" Target="https://doi.org/10.1146/annurev-polisci-120117-110316" TargetMode="External"/><Relationship Id="rId62" Type="http://schemas.openxmlformats.org/officeDocument/2006/relationships/hyperlink" Target="https://www.justice.gov/archive/tax/usaopress/2006/txdv06cas60303.1.pdf" TargetMode="External"/><Relationship Id="rId63" Type="http://schemas.openxmlformats.org/officeDocument/2006/relationships/hyperlink" Target="https://www.justice.gov/archive/opa/pr/2006/January/06_crm_002.html" TargetMode="External"/><Relationship Id="rId64" Type="http://schemas.openxmlformats.org/officeDocument/2006/relationships/hyperlink" Target="https://www.justice.gov/archives/opa/pr/attorney-general-holder-recognizes-department-employees-and-others-their-service-annual-0" TargetMode="External"/><Relationship Id="rId65" Type="http://schemas.openxmlformats.org/officeDocument/2006/relationships/hyperlink" Target="https://www.justice.gov/usao/page/file/1038771/dl" TargetMode="External"/><Relationship Id="rId66" Type="http://schemas.openxmlformats.org/officeDocument/2006/relationships/hyperlink" Target="https://www.justice.gov/usao-sdny/pr/former-us-senator-robert-menendez-sentenced-11-years-prison-bribery-foreign-agent-and" TargetMode="External"/><Relationship Id="rId67" Type="http://schemas.openxmlformats.org/officeDocument/2006/relationships/hyperlink" Target="https://www.justice.gov/pardon" TargetMode="External"/><Relationship Id="rId68" Type="http://schemas.openxmlformats.org/officeDocument/2006/relationships/hyperlink" Target="https://www.dol.gov/agencies/whd/fmla/faq" TargetMode="External"/><Relationship Id="rId69" Type="http://schemas.openxmlformats.org/officeDocument/2006/relationships/hyperlink" Target="https://www.gao.gov/products/gao-10-766" TargetMode="External"/><Relationship Id="rId70" Type="http://schemas.openxmlformats.org/officeDocument/2006/relationships/hyperlink" Target="https://www.gao.gov/assets/d18118.pdf" TargetMode="External"/><Relationship Id="rId71" Type="http://schemas.openxmlformats.org/officeDocument/2006/relationships/hyperlink" Target="https://www.gao.gov/blog/2018/10/03/as-tarp-turns-10-looking-back-at-the-u-s-governments-assistance-to-the-banking-sector" TargetMode="External"/><Relationship Id="rId72" Type="http://schemas.openxmlformats.org/officeDocument/2006/relationships/hyperlink" Target="https://www.gao.gov/products/GAO-19-69" TargetMode="External"/><Relationship Id="rId73" Type="http://schemas.openxmlformats.org/officeDocument/2006/relationships/hyperlink" Target="https://www.gao.gov/products/gao-21-39" TargetMode="External"/><Relationship Id="rId74" Type="http://schemas.openxmlformats.org/officeDocument/2006/relationships/hyperlink" Target="https://www.gao.gov/products/gao-21-577" TargetMode="External"/><Relationship Id="rId75" Type="http://schemas.openxmlformats.org/officeDocument/2006/relationships/hyperlink" Target="https://www.gao.gov/products/gao-22-104259" TargetMode="External"/><Relationship Id="rId76" Type="http://schemas.openxmlformats.org/officeDocument/2006/relationships/hyperlink" Target="https://www.gao.gov/products/gao-22-468" TargetMode="External"/><Relationship Id="rId77" Type="http://schemas.openxmlformats.org/officeDocument/2006/relationships/hyperlink" Target="https://www.gao.gov/products/gao-23-105331" TargetMode="External"/><Relationship Id="rId78" Type="http://schemas.openxmlformats.org/officeDocument/2006/relationships/hyperlink" Target="https://oversightdemocrats.house.gov/sites/evo-subsites/democrats-oversight.house.gov/files/2024-01-04.COA%20DEMS%20-%20Mazars%20Report.pdf" TargetMode="External"/><Relationship Id="rId79" Type="http://schemas.openxmlformats.org/officeDocument/2006/relationships/hyperlink" Target="https://www.rules.senate.gov/rules-of-the-senate/" TargetMode="External"/><Relationship Id="rId80" Type="http://schemas.openxmlformats.org/officeDocument/2006/relationships/hyperlink" Target="https://www.finance.senate.gov/chairmans-news/wyden-probes-kushner-firm-payments-from-gulf-states-potential-fara-loophole" TargetMode="External"/><Relationship Id="rId81" Type="http://schemas.openxmlformats.org/officeDocument/2006/relationships/hyperlink" Target="https://www.finance.senate.gov/chairmans-news/wyden-investigation-of-kushner-firm-continues-new-letter-outlines-affinity-partners-fee-structure-lack-of-return-to-investors-questionable-deals-with-foreign-governments" TargetMode="External"/><Relationship Id="rId82" Type="http://schemas.openxmlformats.org/officeDocument/2006/relationships/hyperlink" Target="https://www.sbc.senate.gov/public/index.cfm/2026/3/ranking-member-markey-calls-on-big-businesses-to-pay-back-customers-for-trump-s-tariff-taxes" TargetMode="External"/><Relationship Id="rId83" Type="http://schemas.openxmlformats.org/officeDocument/2006/relationships/hyperlink" Target="https://www.judiciary.senate.gov/imo/media/doc/An%20Investigation%20of%20the%20Ethics%20Challenge%20at%20the%20Supreme%20Court%20-%20Report%20Only_jqrj575wfhw4.pdf" TargetMode="External"/><Relationship Id="rId84" Type="http://schemas.openxmlformats.org/officeDocument/2006/relationships/hyperlink" Target="https://www.senate.gov/about/powers-procedures/investigations/watergate.htm" TargetMode="External"/><Relationship Id="rId85" Type="http://schemas.openxmlformats.org/officeDocument/2006/relationships/hyperlink" Target="https://www.senate.gov/artandhistory/senate-stories/senate-creates-the-select-committee-on-intelligence.htm" TargetMode="External"/><Relationship Id="rId86" Type="http://schemas.openxmlformats.org/officeDocument/2006/relationships/hyperlink" Target="https://www.senate.gov/about/powers-procedures/censure/139HermanTalmadge.htm" TargetMode="External"/><Relationship Id="rId87" Type="http://schemas.openxmlformats.org/officeDocument/2006/relationships/hyperlink" Target="https://www.senate.gov/about/powers-procedures/expulsion.htm" TargetMode="External"/><Relationship Id="rId88" Type="http://schemas.openxmlformats.org/officeDocument/2006/relationships/hyperlink" Target="https://www.ethics.senate.gov/downloads/pdffiles/manual.pdf" TargetMode="External"/><Relationship Id="rId89" Type="http://schemas.openxmlformats.org/officeDocument/2006/relationships/hyperlink" Target="https://www.ethics.senate.gov/public/index.cfm/files/serve?File_id=f2eb14e3-1123-48eb-9334-8c4717102a6e" TargetMode="External"/><Relationship Id="rId90" Type="http://schemas.openxmlformats.org/officeDocument/2006/relationships/hyperlink" Target="https://www.banking.senate.gov/newsroom/minority/warren-schiff-and-blumenthal-investigate-trump-mar-a-lago-memecoin-conference" TargetMode="External"/><Relationship Id="rId91" Type="http://schemas.openxmlformats.org/officeDocument/2006/relationships/hyperlink" Target="https://www.cambridge.org/core/services/aop-cambridge-core/content/view/BC6C6A524BBE96738BB94D37EF0FD1A5/S1369525800003156a.pdf/abnormal-returns-from-the-common-stock-investments-of-members-of-the-us-house-of-representativ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Corruption in American Politics Since 1960</dc:title>
  <dc:subject>From Bribery to Institutionalized Self-Dealing, Privileged Markets, and Unequal Accountability</dc:subject>
  <dc:creator>Independent research synthesis</dc:creator>
  <cp:keywords>political corruption; Congress; institutional corruption; insider trading; tariffs; COVID-19</cp:keywords>
  <dc:description>generated by python-docx</dc:description>
  <cp:lastModifiedBy/>
  <cp:revision>1</cp:revision>
  <dcterms:created xsi:type="dcterms:W3CDTF">2013-12-23T23:15:00Z</dcterms:created>
  <dcterms:modified xsi:type="dcterms:W3CDTF">2013-12-23T23:15:00Z</dcterms:modified>
  <cp:category/>
</cp:coreProperties>
</file>