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0F172A"/>
          <w:sz w:val="48"/>
        </w:rPr>
        <w:t>Credentia — Q&amp;A Defense Briefing</w:t>
      </w:r>
    </w:p>
    <w:p>
      <w:pPr>
        <w:spacing w:after="40"/>
      </w:pPr>
      <w:r>
        <w:rPr>
          <w:rFonts w:ascii="Calibri" w:hAnsi="Calibri"/>
          <w:b/>
          <w:i w:val="0"/>
          <w:color w:val="4F46E5"/>
          <w:sz w:val="26"/>
        </w:rPr>
        <w:t>Demo Block (Slides 8–10) &amp; Roadmap (Slides 13–15)</w:t>
      </w:r>
    </w:p>
    <w:p>
      <w:pPr>
        <w:spacing w:after="200"/>
      </w:pPr>
      <w:r>
        <w:rPr>
          <w:rFonts w:ascii="Calibri" w:hAnsi="Calibri"/>
          <w:b w:val="0"/>
          <w:i/>
          <w:color w:val="94A3B8"/>
          <w:sz w:val="20"/>
        </w:rPr>
        <w:t>With token-usage cost model and roadmap effort estimates.  Confidential.</w:t>
      </w:r>
    </w:p>
    <w:p>
      <w:pPr>
        <w:spacing w:after="240"/>
      </w:pPr>
      <w:r>
        <w:rPr>
          <w:rFonts w:ascii="Calibri" w:hAnsi="Calibri"/>
          <w:b/>
          <w:i w:val="0"/>
          <w:color w:val="926A0A"/>
          <w:sz w:val="22"/>
        </w:rPr>
        <w:t xml:space="preserve">Presenter framing:  </w:t>
      </w:r>
      <w:r>
        <w:rPr>
          <w:rFonts w:ascii="Calibri" w:hAnsi="Calibri"/>
          <w:b w:val="0"/>
          <w:i/>
          <w:color w:val="475569"/>
          <w:sz w:val="22"/>
        </w:rPr>
        <w:t>Every dollar and timeline figure below is a planning estimate built on today's model pricing and reasonable usage assumptions. Say the word “estimate” out loud — it builds credibility, not doubt.</w:t>
      </w:r>
    </w:p>
    <w:p>
      <w:pPr>
        <w:spacing w:before="120" w:after="120"/>
      </w:pPr>
      <w:r>
        <w:rPr>
          <w:rFonts w:ascii="Calibri" w:hAnsi="Calibri"/>
          <w:b/>
          <w:i w:val="0"/>
          <w:color w:val="0F172A"/>
          <w:sz w:val="34"/>
        </w:rPr>
        <w:t>The Toughest Questions</w:t>
      </w:r>
    </w:p>
    <w:p>
      <w:pPr>
        <w:spacing w:before="240" w:after="80"/>
      </w:pPr>
      <w:r>
        <w:rPr>
          <w:rFonts w:ascii="Calibri" w:hAnsi="Calibri"/>
          <w:b/>
          <w:i w:val="0"/>
          <w:color w:val="4F46E5"/>
          <w:sz w:val="25"/>
        </w:rPr>
        <w:t>Q1. “How do I know your AI isn't fabricating things about my employees?”</w:t>
      </w:r>
    </w:p>
    <w:p>
      <w:pPr>
        <w:spacing w:after="160"/>
      </w:pPr>
      <w:r>
        <w:rPr>
          <w:rFonts w:ascii="Calibri" w:hAnsi="Calibri"/>
          <w:b/>
          <w:i w:val="0"/>
          <w:color w:val="0F172A"/>
          <w:sz w:val="22"/>
        </w:rPr>
        <w:t xml:space="preserve">Spoken (30s):  </w:t>
      </w:r>
      <w:r>
        <w:rPr>
          <w:rFonts w:ascii="Calibri" w:hAnsi="Calibri"/>
          <w:b w:val="0"/>
          <w:i w:val="0"/>
          <w:color w:val="475569"/>
          <w:sz w:val="22"/>
        </w:rPr>
        <w:t>Because the AI doesn't generate the numbers — our code does. Completion rates, revenue impact, sentiment trends, and retention signals are all computed deterministically from verified data. The model's only job is clustering free-text and writing narrative. It is architecturally unable to invent a metric or flag a named person.</w:t>
      </w:r>
    </w:p>
    <w:p>
      <w:pPr>
        <w:spacing w:after="160"/>
      </w:pPr>
      <w:r>
        <w:rPr>
          <w:rFonts w:ascii="Calibri" w:hAnsi="Calibri"/>
          <w:b/>
          <w:i w:val="0"/>
          <w:color w:val="926A0A"/>
          <w:sz w:val="22"/>
        </w:rPr>
        <w:t xml:space="preserve">If pressed:  </w:t>
      </w:r>
      <w:r>
        <w:rPr>
          <w:rFonts w:ascii="Calibri" w:hAnsi="Calibri"/>
          <w:b w:val="0"/>
          <w:i w:val="0"/>
          <w:color w:val="475569"/>
          <w:sz w:val="22"/>
        </w:rPr>
        <w:t>We even overwrite the model's copy of the figures with our ground-truth numbers after it responds — so a hallucinated number can't survive to the UI. Retention flags are pure math on a sentiment slope; the AI never sees them as something to invent.</w:t>
      </w:r>
    </w:p>
    <w:p>
      <w:pPr>
        <w:spacing w:before="240" w:after="80"/>
      </w:pPr>
      <w:r>
        <w:rPr>
          <w:rFonts w:ascii="Calibri" w:hAnsi="Calibri"/>
          <w:b/>
          <w:i w:val="0"/>
          <w:color w:val="4F46E5"/>
          <w:sz w:val="25"/>
        </w:rPr>
        <w:t>Q2. “Won't AI costs explode as you scale to thousands of employees?”</w:t>
      </w:r>
    </w:p>
    <w:p>
      <w:pPr>
        <w:spacing w:after="160"/>
      </w:pPr>
      <w:r>
        <w:rPr>
          <w:rFonts w:ascii="Calibri" w:hAnsi="Calibri"/>
          <w:b/>
          <w:i w:val="0"/>
          <w:color w:val="0F172A"/>
          <w:sz w:val="22"/>
        </w:rPr>
        <w:t xml:space="preserve">Spoken (30s):  </w:t>
      </w:r>
      <w:r>
        <w:rPr>
          <w:rFonts w:ascii="Calibri" w:hAnsi="Calibri"/>
          <w:b w:val="0"/>
          <w:i w:val="0"/>
          <w:color w:val="475569"/>
          <w:sz w:val="22"/>
        </w:rPr>
        <w:t>No — and this surprises people. Our AI calls are small and infrequent. A full advisory pass on one employee is about 4,000 tokens, roughly three cents. A leadership report is about three and a half cents. Even a 1,000-person org running quarterly is tens of dollars a year — a rounding error against enterprise seat pricing.</w:t>
      </w:r>
    </w:p>
    <w:p>
      <w:pPr>
        <w:spacing w:after="160"/>
      </w:pPr>
      <w:r>
        <w:rPr>
          <w:rFonts w:ascii="Calibri" w:hAnsi="Calibri"/>
          <w:b/>
          <w:i w:val="0"/>
          <w:color w:val="926A0A"/>
          <w:sz w:val="22"/>
        </w:rPr>
        <w:t xml:space="preserve">If pressed:  </w:t>
      </w:r>
      <w:r>
        <w:rPr>
          <w:rFonts w:ascii="Calibri" w:hAnsi="Calibri"/>
          <w:b w:val="0"/>
          <w:i w:val="0"/>
          <w:color w:val="475569"/>
          <w:sz w:val="22"/>
        </w:rPr>
        <w:t>Three things keep it there. One: most operations run on a cadence — quarterly, weekly — not per-keystroke. Two: prompt caching cuts repeated system-prompt input cost by ~90%. Three: we route by job — Haiku for high-volume monitoring, Sonnet for synthesis, Opus only for heavy planning. See Table 1: even with the Phase 2 features on, we model under ~$500/org/year in tokens.</w:t>
      </w:r>
    </w:p>
    <w:p>
      <w:pPr>
        <w:spacing w:before="240" w:after="80"/>
      </w:pPr>
      <w:r>
        <w:rPr>
          <w:rFonts w:ascii="Calibri" w:hAnsi="Calibri"/>
          <w:b/>
          <w:i w:val="0"/>
          <w:color w:val="4F46E5"/>
          <w:sz w:val="25"/>
        </w:rPr>
        <w:t>Q3. “What's actually real today versus a mockup?”</w:t>
      </w:r>
    </w:p>
    <w:p>
      <w:pPr>
        <w:spacing w:after="160"/>
      </w:pPr>
      <w:r>
        <w:rPr>
          <w:rFonts w:ascii="Calibri" w:hAnsi="Calibri"/>
          <w:b/>
          <w:i w:val="0"/>
          <w:color w:val="0F172A"/>
          <w:sz w:val="22"/>
        </w:rPr>
        <w:t xml:space="preserve">Spoken (30s):  </w:t>
      </w:r>
      <w:r>
        <w:rPr>
          <w:rFonts w:ascii="Calibri" w:hAnsi="Calibri"/>
          <w:b w:val="0"/>
          <w:i w:val="0"/>
          <w:color w:val="475569"/>
          <w:sz w:val="22"/>
        </w:rPr>
        <w:t>The core is live: the verification engine, multi-tenant isolation, the audit trail, every dashboard, provisioning, the swipe-to-verify flow you just saw. The AI layer is wired and running on Claude. Two things are deliberately mocked — the payment processor and the dedicated-database isolation mode — both scaffolded in schema, neither on the critical path.</w:t>
      </w:r>
    </w:p>
    <w:p>
      <w:pPr>
        <w:spacing w:after="160"/>
      </w:pPr>
      <w:r>
        <w:rPr>
          <w:rFonts w:ascii="Calibri" w:hAnsi="Calibri"/>
          <w:b/>
          <w:i w:val="0"/>
          <w:color w:val="926A0A"/>
          <w:sz w:val="22"/>
        </w:rPr>
        <w:t xml:space="preserve">If pressed:  </w:t>
      </w:r>
      <w:r>
        <w:rPr>
          <w:rFonts w:ascii="Calibri" w:hAnsi="Calibri"/>
          <w:b w:val="0"/>
          <w:i w:val="0"/>
          <w:color w:val="475569"/>
          <w:sz w:val="22"/>
        </w:rPr>
        <w:t>Nothing you saw in the demo was faked. The mocks are commercial plumbing — billing and physical DB separation — that we'll harden for GA, not core product risk.</w:t>
      </w:r>
    </w:p>
    <w:p>
      <w:pPr>
        <w:spacing w:before="240" w:after="80"/>
      </w:pPr>
      <w:r>
        <w:rPr>
          <w:rFonts w:ascii="Calibri" w:hAnsi="Calibri"/>
          <w:b/>
          <w:i w:val="0"/>
          <w:color w:val="4F46E5"/>
          <w:sz w:val="25"/>
        </w:rPr>
        <w:t>Q4. “What stops Workday, Rippling, or LinkedIn from just copying this?”</w:t>
      </w:r>
    </w:p>
    <w:p>
      <w:pPr>
        <w:spacing w:after="160"/>
      </w:pPr>
      <w:r>
        <w:rPr>
          <w:rFonts w:ascii="Calibri" w:hAnsi="Calibri"/>
          <w:b/>
          <w:i w:val="0"/>
          <w:color w:val="0F172A"/>
          <w:sz w:val="22"/>
        </w:rPr>
        <w:t xml:space="preserve">Spoken (30s):  </w:t>
      </w:r>
      <w:r>
        <w:rPr>
          <w:rFonts w:ascii="Calibri" w:hAnsi="Calibri"/>
          <w:b w:val="0"/>
          <w:i w:val="0"/>
          <w:color w:val="475569"/>
          <w:sz w:val="22"/>
        </w:rPr>
        <w:t>The separation of verified fact from AI estimate isn't a feature you bolt on — it's a schema-level commitment that touches every table and every screen. Incumbents have years of blended data they can't retroactively un-mix. And our value compounds with a network: every company that joins makes a portable credential worth more. That's a moat that grows, not one they can ship in a sprint.</w:t>
      </w:r>
    </w:p>
    <w:p>
      <w:pPr>
        <w:spacing w:after="160"/>
      </w:pPr>
      <w:r>
        <w:rPr>
          <w:rFonts w:ascii="Calibri" w:hAnsi="Calibri"/>
          <w:b/>
          <w:i w:val="0"/>
          <w:color w:val="926A0A"/>
          <w:sz w:val="22"/>
        </w:rPr>
        <w:t xml:space="preserve">If pressed:  </w:t>
      </w:r>
      <w:r>
        <w:rPr>
          <w:rFonts w:ascii="Calibri" w:hAnsi="Calibri"/>
          <w:b w:val="0"/>
          <w:i w:val="0"/>
          <w:color w:val="475569"/>
          <w:sz w:val="22"/>
        </w:rPr>
        <w:t>Their data model is their liability here. Re-architecting a live HRIS to separate attested fact from inference, retroactively, is a multi-year migration with no clean answer for historical data.</w:t>
      </w:r>
    </w:p>
    <w:p>
      <w:pPr>
        <w:spacing w:before="240" w:after="80"/>
      </w:pPr>
      <w:r>
        <w:rPr>
          <w:rFonts w:ascii="Calibri" w:hAnsi="Calibri"/>
          <w:b/>
          <w:i w:val="0"/>
          <w:color w:val="4F46E5"/>
          <w:sz w:val="25"/>
        </w:rPr>
        <w:t>Q5. “Scoring employees with AI — isn't that a legal and ethical minefield?”</w:t>
      </w:r>
    </w:p>
    <w:p>
      <w:pPr>
        <w:spacing w:after="160"/>
      </w:pPr>
      <w:r>
        <w:rPr>
          <w:rFonts w:ascii="Calibri" w:hAnsi="Calibri"/>
          <w:b/>
          <w:i w:val="0"/>
          <w:color w:val="0F172A"/>
          <w:sz w:val="22"/>
        </w:rPr>
        <w:t xml:space="preserve">Spoken (30s):  </w:t>
      </w:r>
      <w:r>
        <w:rPr>
          <w:rFonts w:ascii="Calibri" w:hAnsi="Calibri"/>
          <w:b w:val="0"/>
          <w:i w:val="0"/>
          <w:color w:val="475569"/>
          <w:sz w:val="22"/>
        </w:rPr>
        <w:t>We designed for exactly this fear. The AI never decides — no promotion, no comp change, no termination, no rating. It outputs ranges and suggestions, clearly labeled amber, with a human-decides disclaimer enforced in the prompt and the architecture. Every action is on a tamper-evident audit trail. That makes us more defensible in an audit, not less.</w:t>
      </w:r>
    </w:p>
    <w:p>
      <w:pPr>
        <w:spacing w:after="160"/>
      </w:pPr>
      <w:r>
        <w:rPr>
          <w:rFonts w:ascii="Calibri" w:hAnsi="Calibri"/>
          <w:b/>
          <w:i w:val="0"/>
          <w:color w:val="926A0A"/>
          <w:sz w:val="22"/>
        </w:rPr>
        <w:t xml:space="preserve">If pressed:  </w:t>
      </w:r>
      <w:r>
        <w:rPr>
          <w:rFonts w:ascii="Calibri" w:hAnsi="Calibri"/>
          <w:b w:val="0"/>
          <w:i w:val="0"/>
          <w:color w:val="475569"/>
          <w:sz w:val="22"/>
        </w:rPr>
        <w:t>Our Phase 3 pay-equity audit engine actually turns this into a compliance asset — continuous, regulator-ready fairness monitoring on top of attested data.</w:t>
      </w:r>
    </w:p>
    <w:p>
      <w:pPr>
        <w:spacing w:before="240" w:after="80"/>
      </w:pPr>
      <w:r>
        <w:rPr>
          <w:rFonts w:ascii="Calibri" w:hAnsi="Calibri"/>
          <w:b/>
          <w:i w:val="0"/>
          <w:color w:val="4F46E5"/>
          <w:sz w:val="25"/>
        </w:rPr>
        <w:t>Q6. “How long until the roadmap features I care about are real?”</w:t>
      </w:r>
    </w:p>
    <w:p>
      <w:pPr>
        <w:spacing w:after="160"/>
      </w:pPr>
      <w:r>
        <w:rPr>
          <w:rFonts w:ascii="Calibri" w:hAnsi="Calibri"/>
          <w:b/>
          <w:i w:val="0"/>
          <w:color w:val="0F172A"/>
          <w:sz w:val="22"/>
        </w:rPr>
        <w:t xml:space="preserve">Spoken (30s):  </w:t>
      </w:r>
      <w:r>
        <w:rPr>
          <w:rFonts w:ascii="Calibri" w:hAnsi="Calibri"/>
          <w:b w:val="0"/>
          <w:i w:val="0"/>
          <w:color w:val="475569"/>
          <w:sz w:val="22"/>
        </w:rPr>
        <w:t>Phase 2 is a 2-to-3 quarter horizon, sequenced by leverage. The quick, high-trust wins — explainable AI panels, natural-language workforce queries — are 3-to-8 week builds because they sit on data we already capture. The heavier network features, like cross-company credential portability, are 8-to-12 weeks because the hard part is the consent and legal model, not the code.</w:t>
      </w:r>
    </w:p>
    <w:p>
      <w:pPr>
        <w:spacing w:after="160"/>
      </w:pPr>
      <w:r>
        <w:rPr>
          <w:rFonts w:ascii="Calibri" w:hAnsi="Calibri"/>
          <w:b/>
          <w:i w:val="0"/>
          <w:color w:val="926A0A"/>
          <w:sz w:val="22"/>
        </w:rPr>
        <w:t xml:space="preserve">If pressed:  </w:t>
      </w:r>
      <w:r>
        <w:rPr>
          <w:rFonts w:ascii="Calibri" w:hAnsi="Calibri"/>
          <w:b w:val="0"/>
          <w:i w:val="0"/>
          <w:color w:val="475569"/>
          <w:sz w:val="22"/>
        </w:rPr>
        <w:t>Phase 3 — the talent graph, the marketplace, predictive planning — is a 12-to-24 month arc, and several pieces only unlock once we have enough tenants to make benchmarking and the network meaningful. See Table 2 for the sequencing.</w:t>
      </w:r>
    </w:p>
    <w:p>
      <w:pPr>
        <w:spacing w:before="240" w:after="80"/>
      </w:pPr>
      <w:r>
        <w:rPr>
          <w:rFonts w:ascii="Calibri" w:hAnsi="Calibri"/>
          <w:b/>
          <w:i w:val="0"/>
          <w:color w:val="4F46E5"/>
          <w:sz w:val="25"/>
        </w:rPr>
        <w:t>Q7. “Your AI runs on a third party. What's your exposure if pricing or availability changes?”</w:t>
      </w:r>
    </w:p>
    <w:p>
      <w:pPr>
        <w:spacing w:after="160"/>
      </w:pPr>
      <w:r>
        <w:rPr>
          <w:rFonts w:ascii="Calibri" w:hAnsi="Calibri"/>
          <w:b/>
          <w:i w:val="0"/>
          <w:color w:val="0F172A"/>
          <w:sz w:val="22"/>
        </w:rPr>
        <w:t xml:space="preserve">Spoken (30s):  </w:t>
      </w:r>
      <w:r>
        <w:rPr>
          <w:rFonts w:ascii="Calibri" w:hAnsi="Calibri"/>
          <w:b w:val="0"/>
          <w:i w:val="0"/>
          <w:color w:val="475569"/>
          <w:sz w:val="22"/>
        </w:rPr>
        <w:t>Our prompts are model-portable — structured JSON in, structured JSON out — so we're not locked to one vendor. And because our spend is so low per org, even a significant price move is immaterial to unit economics. We can also down-route non-critical work to cheaper models without touching the product.</w:t>
      </w:r>
    </w:p>
    <w:p>
      <w:pPr>
        <w:spacing w:after="160"/>
      </w:pPr>
      <w:r>
        <w:rPr>
          <w:rFonts w:ascii="Calibri" w:hAnsi="Calibri"/>
          <w:b/>
          <w:i w:val="0"/>
          <w:color w:val="926A0A"/>
          <w:sz w:val="22"/>
        </w:rPr>
        <w:t xml:space="preserve">If pressed:  </w:t>
      </w:r>
      <w:r>
        <w:rPr>
          <w:rFonts w:ascii="Calibri" w:hAnsi="Calibri"/>
          <w:b w:val="0"/>
          <w:i w:val="0"/>
          <w:color w:val="475569"/>
          <w:sz w:val="22"/>
        </w:rPr>
        <w:t>The deterministic metrics — the part that matters most for trust — don't depend on any LLM at all. The model is the narrator, not the source of truth. If it went away tomorrow, the verified platform still stands.</w:t>
      </w:r>
    </w:p>
    <w:p>
      <w:pPr>
        <w:spacing w:before="240" w:after="80"/>
      </w:pPr>
      <w:r>
        <w:rPr>
          <w:rFonts w:ascii="Calibri" w:hAnsi="Calibri"/>
          <w:b/>
          <w:i w:val="0"/>
          <w:color w:val="4F46E5"/>
          <w:sz w:val="25"/>
        </w:rPr>
        <w:t>Q8. “What's the single biggest technical risk in the roadmap?”</w:t>
      </w:r>
    </w:p>
    <w:p>
      <w:pPr>
        <w:spacing w:after="160"/>
      </w:pPr>
      <w:r>
        <w:rPr>
          <w:rFonts w:ascii="Calibri" w:hAnsi="Calibri"/>
          <w:b/>
          <w:i w:val="0"/>
          <w:color w:val="0F172A"/>
          <w:sz w:val="22"/>
        </w:rPr>
        <w:t xml:space="preserve">Spoken (30s):  </w:t>
      </w:r>
      <w:r>
        <w:rPr>
          <w:rFonts w:ascii="Calibri" w:hAnsi="Calibri"/>
          <w:b w:val="0"/>
          <w:i w:val="0"/>
          <w:color w:val="475569"/>
          <w:sz w:val="22"/>
        </w:rPr>
        <w:t>Honestly? Cross-company credential portability — Phase 2's marquee feature. The engineering is tractable; the consent, privacy, and cross-tenant trust model is the real work. We've budgeted 8-to-12 weeks and we're treating the legal design as a first-class part of it.</w:t>
      </w:r>
    </w:p>
    <w:p>
      <w:pPr>
        <w:spacing w:after="160"/>
      </w:pPr>
      <w:r>
        <w:rPr>
          <w:rFonts w:ascii="Calibri" w:hAnsi="Calibri"/>
          <w:b/>
          <w:i w:val="0"/>
          <w:color w:val="926A0A"/>
          <w:sz w:val="22"/>
        </w:rPr>
        <w:t xml:space="preserve">If pressed:  </w:t>
      </w:r>
      <w:r>
        <w:rPr>
          <w:rFonts w:ascii="Calibri" w:hAnsi="Calibri"/>
          <w:b w:val="0"/>
          <w:i w:val="0"/>
          <w:color w:val="475569"/>
          <w:sz w:val="22"/>
        </w:rPr>
        <w:t>Everything downstream — the talent graph, the marketplace — depends on getting that consent model right once. So we're front-loading it and over-investing in it deliberately.</w:t>
      </w:r>
    </w:p>
    <w:p>
      <w:r>
        <w:br w:type="page"/>
      </w:r>
    </w:p>
    <w:p>
      <w:pPr>
        <w:spacing w:before="80" w:after="120"/>
      </w:pPr>
      <w:r>
        <w:rPr>
          <w:rFonts w:ascii="Calibri" w:hAnsi="Calibri"/>
          <w:b/>
          <w:i w:val="0"/>
          <w:color w:val="0F172A"/>
          <w:sz w:val="32"/>
        </w:rPr>
        <w:t>Table 1 — AI Token &amp; Cost Model</w:t>
      </w:r>
    </w:p>
    <w:p>
      <w:pPr>
        <w:spacing w:after="160"/>
      </w:pPr>
      <w:r>
        <w:rPr>
          <w:rFonts w:ascii="Calibri" w:hAnsi="Calibri"/>
          <w:b w:val="0"/>
          <w:i/>
          <w:color w:val="94A3B8"/>
          <w:sz w:val="20"/>
        </w:rPr>
        <w:t>Assumes current Claude Sonnet pricing (~$3 / 1M input, ~$15 / 1M output); high-volume monitoring routed to Haiku. Figures are per-org estimates.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0F1117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Operation</w:t>
            </w:r>
          </w:p>
        </w:tc>
        <w:tc>
          <w:tcPr>
            <w:tcW w:type="dxa" w:w="1987"/>
            <w:shd w:val="clear" w:color="auto" w:fill="0F1117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Cadence</w:t>
            </w:r>
          </w:p>
        </w:tc>
        <w:tc>
          <w:tcPr>
            <w:tcW w:type="dxa" w:w="1987"/>
            <w:shd w:val="clear" w:color="auto" w:fill="0F1117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~Tokens (in / out)</w:t>
            </w:r>
          </w:p>
        </w:tc>
        <w:tc>
          <w:tcPr>
            <w:tcW w:type="dxa" w:w="1987"/>
            <w:shd w:val="clear" w:color="auto" w:fill="0F1117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~Cost / run</w:t>
            </w:r>
          </w:p>
        </w:tc>
        <w:tc>
          <w:tcPr>
            <w:tcW w:type="dxa" w:w="1987"/>
            <w:shd w:val="clear" w:color="auto" w:fill="0F1117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~Cost / 1,000-seat org / yr</w:t>
            </w:r>
          </w:p>
        </w:tc>
      </w:tr>
      <w:tr>
        <w:tc>
          <w:tcPr>
            <w:tcW w:type="dxa" w:w="1987"/>
            <w:shd w:val="clear" w:color="auto" w:fill="1E2433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7D2FE"/>
                <w:sz w:val="19"/>
              </w:rPr>
              <w:t>TODAY</w:t>
            </w:r>
          </w:p>
        </w:tc>
        <w:tc>
          <w:tcPr>
            <w:tcW w:type="dxa" w:w="1987"/>
            <w:shd w:val="clear" w:color="auto" w:fill="1E2433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7D2FE"/>
                <w:sz w:val="19"/>
              </w:rPr>
            </w:r>
          </w:p>
        </w:tc>
        <w:tc>
          <w:tcPr>
            <w:tcW w:type="dxa" w:w="1987"/>
            <w:shd w:val="clear" w:color="auto" w:fill="1E2433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7D2FE"/>
                <w:sz w:val="19"/>
              </w:rPr>
            </w:r>
          </w:p>
        </w:tc>
        <w:tc>
          <w:tcPr>
            <w:tcW w:type="dxa" w:w="1987"/>
            <w:shd w:val="clear" w:color="auto" w:fill="1E2433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7D2FE"/>
                <w:sz w:val="19"/>
              </w:rPr>
            </w:r>
          </w:p>
        </w:tc>
        <w:tc>
          <w:tcPr>
            <w:tcW w:type="dxa" w:w="1987"/>
            <w:shd w:val="clear" w:color="auto" w:fill="1E2433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7D2FE"/>
                <w:sz w:val="19"/>
              </w:rPr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75569"/>
                <w:sz w:val="19"/>
              </w:rPr>
              <w:t>Employee advisory (full)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Quarterly / employee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2.5K / 1.5K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~$0.03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~$120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75569"/>
                <w:sz w:val="19"/>
              </w:rPr>
              <w:t>Leadership report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Weekly / team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4K / 1.5K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~$0.035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~$90</w:t>
            </w:r>
          </w:p>
        </w:tc>
      </w:tr>
      <w:tr>
        <w:tc>
          <w:tcPr>
            <w:tcW w:type="dxa" w:w="1987"/>
            <w:shd w:val="clear" w:color="auto" w:fill="1E2433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7D2FE"/>
                <w:sz w:val="19"/>
              </w:rPr>
              <w:t>PHASE 2 ADDITIONS</w:t>
            </w:r>
          </w:p>
        </w:tc>
        <w:tc>
          <w:tcPr>
            <w:tcW w:type="dxa" w:w="1987"/>
            <w:shd w:val="clear" w:color="auto" w:fill="1E2433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7D2FE"/>
                <w:sz w:val="19"/>
              </w:rPr>
            </w:r>
          </w:p>
        </w:tc>
        <w:tc>
          <w:tcPr>
            <w:tcW w:type="dxa" w:w="1987"/>
            <w:shd w:val="clear" w:color="auto" w:fill="1E2433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7D2FE"/>
                <w:sz w:val="19"/>
              </w:rPr>
            </w:r>
          </w:p>
        </w:tc>
        <w:tc>
          <w:tcPr>
            <w:tcW w:type="dxa" w:w="1987"/>
            <w:shd w:val="clear" w:color="auto" w:fill="1E2433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7D2FE"/>
                <w:sz w:val="19"/>
              </w:rPr>
            </w:r>
          </w:p>
        </w:tc>
        <w:tc>
          <w:tcPr>
            <w:tcW w:type="dxa" w:w="1987"/>
            <w:shd w:val="clear" w:color="auto" w:fill="1E2433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7D2FE"/>
                <w:sz w:val="19"/>
              </w:rPr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75569"/>
                <w:sz w:val="19"/>
              </w:rPr>
              <w:t>NL workforce query (RAG)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On demand (~20/day)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5K / 0.8K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~$0.03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~$220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75569"/>
                <w:sz w:val="19"/>
              </w:rPr>
              <w:t>Explainable AI panel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Reuses existing call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+0.5K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~$0 marginal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negligible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75569"/>
                <w:sz w:val="19"/>
              </w:rPr>
              <w:t>Compliance agent (Haiku)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Hourly audit scan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2K / 0.3K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~$0.001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~$60</w:t>
            </w:r>
          </w:p>
        </w:tc>
      </w:tr>
      <w:tr>
        <w:tc>
          <w:tcPr>
            <w:tcW w:type="dxa" w:w="1987"/>
            <w:shd w:val="clear" w:color="auto" w:fill="1E2433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7D2FE"/>
                <w:sz w:val="19"/>
              </w:rPr>
              <w:t>PHASE 3 ADDITIONS</w:t>
            </w:r>
          </w:p>
        </w:tc>
        <w:tc>
          <w:tcPr>
            <w:tcW w:type="dxa" w:w="1987"/>
            <w:shd w:val="clear" w:color="auto" w:fill="1E2433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7D2FE"/>
                <w:sz w:val="19"/>
              </w:rPr>
            </w:r>
          </w:p>
        </w:tc>
        <w:tc>
          <w:tcPr>
            <w:tcW w:type="dxa" w:w="1987"/>
            <w:shd w:val="clear" w:color="auto" w:fill="1E2433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7D2FE"/>
                <w:sz w:val="19"/>
              </w:rPr>
            </w:r>
          </w:p>
        </w:tc>
        <w:tc>
          <w:tcPr>
            <w:tcW w:type="dxa" w:w="1987"/>
            <w:shd w:val="clear" w:color="auto" w:fill="1E2433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7D2FE"/>
                <w:sz w:val="19"/>
              </w:rPr>
            </w:r>
          </w:p>
        </w:tc>
        <w:tc>
          <w:tcPr>
            <w:tcW w:type="dxa" w:w="1987"/>
            <w:shd w:val="clear" w:color="auto" w:fill="1E2433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7D2FE"/>
                <w:sz w:val="19"/>
              </w:rPr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75569"/>
                <w:sz w:val="19"/>
              </w:rPr>
              <w:t>Predictive planning (Opus)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Monthly / org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10K / 4K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~$0.09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~$1</w:t>
            </w:r>
          </w:p>
        </w:tc>
      </w:tr>
      <w:tr>
        <w:tc>
          <w:tcPr>
            <w:tcW w:type="dxa" w:w="1987"/>
            <w:shd w:val="clear" w:color="auto" w:fill="EEF2FF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F46E5"/>
                <w:sz w:val="19"/>
              </w:rPr>
              <w:t>ESTIMATED ALL-IN, FULLY ENABLED</w:t>
            </w:r>
          </w:p>
        </w:tc>
        <w:tc>
          <w:tcPr>
            <w:tcW w:type="dxa" w:w="1987"/>
            <w:shd w:val="clear" w:color="auto" w:fill="EEF2FF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F46E5"/>
                <w:sz w:val="19"/>
              </w:rPr>
            </w:r>
          </w:p>
        </w:tc>
        <w:tc>
          <w:tcPr>
            <w:tcW w:type="dxa" w:w="1987"/>
            <w:shd w:val="clear" w:color="auto" w:fill="EEF2FF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F46E5"/>
                <w:sz w:val="19"/>
              </w:rPr>
            </w:r>
          </w:p>
        </w:tc>
        <w:tc>
          <w:tcPr>
            <w:tcW w:type="dxa" w:w="1987"/>
            <w:shd w:val="clear" w:color="auto" w:fill="EEF2FF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F46E5"/>
                <w:sz w:val="19"/>
              </w:rPr>
            </w:r>
          </w:p>
        </w:tc>
        <w:tc>
          <w:tcPr>
            <w:tcW w:type="dxa" w:w="1987"/>
            <w:shd w:val="clear" w:color="auto" w:fill="EEF2FF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F46E5"/>
                <w:sz w:val="19"/>
              </w:rPr>
              <w:t>≈ $450–550 / org / yr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  <w:color w:val="475569"/>
          <w:sz w:val="22"/>
        </w:rPr>
      </w:r>
    </w:p>
    <w:p>
      <w:pPr>
        <w:spacing w:before="160"/>
      </w:pPr>
      <w:r>
        <w:rPr>
          <w:rFonts w:ascii="Calibri" w:hAnsi="Calibri"/>
          <w:b/>
          <w:i w:val="0"/>
          <w:color w:val="0F172A"/>
          <w:sz w:val="22"/>
        </w:rPr>
        <w:t xml:space="preserve">Headline:  </w:t>
      </w:r>
      <w:r>
        <w:rPr>
          <w:rFonts w:ascii="Calibri" w:hAnsi="Calibri"/>
          <w:b w:val="0"/>
          <w:i/>
          <w:color w:val="475569"/>
          <w:sz w:val="22"/>
        </w:rPr>
        <w:t>Even with every AI feature on, we model under ~$500 in tokens per customer per year. Token cost is not our scaling risk.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2"/>
        </w:rPr>
        <w:t>Two cost levers in reserve: prompt caching (~90% off repeated input) and model routing (Haiku / Sonnet / Opus by job).</w:t>
      </w:r>
    </w:p>
    <w:p>
      <w:r>
        <w:br w:type="page"/>
      </w:r>
    </w:p>
    <w:p>
      <w:pPr>
        <w:spacing w:before="80" w:after="120"/>
      </w:pPr>
      <w:r>
        <w:rPr>
          <w:rFonts w:ascii="Calibri" w:hAnsi="Calibri"/>
          <w:b/>
          <w:i w:val="0"/>
          <w:color w:val="0F172A"/>
          <w:sz w:val="32"/>
        </w:rPr>
        <w:t>Table 2 — Roadmap Effort &amp; Timeline</w:t>
      </w:r>
    </w:p>
    <w:p>
      <w:pPr>
        <w:spacing w:after="160"/>
      </w:pPr>
      <w:r>
        <w:rPr>
          <w:rFonts w:ascii="Calibri" w:hAnsi="Calibri"/>
          <w:b w:val="0"/>
          <w:i/>
          <w:color w:val="94A3B8"/>
          <w:sz w:val="20"/>
        </w:rPr>
        <w:t>Engineering estimates assuming current team; the gating factor is noted where it isn't code.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0F1117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2484"/>
            <w:shd w:val="clear" w:color="auto" w:fill="0F1117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2484"/>
            <w:shd w:val="clear" w:color="auto" w:fill="0F1117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Est. build</w:t>
            </w:r>
          </w:p>
        </w:tc>
        <w:tc>
          <w:tcPr>
            <w:tcW w:type="dxa" w:w="2484"/>
            <w:shd w:val="clear" w:color="auto" w:fill="0F1117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Gating factor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Explainable AI source panels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F46E5"/>
                <w:sz w:val="20"/>
              </w:rPr>
              <w:t>2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3–4 wks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Surfacing data we already store</w:t>
            </w:r>
          </w:p>
        </w:tc>
      </w:tr>
      <w:tr>
        <w:tc>
          <w:tcPr>
            <w:tcW w:type="dxa" w:w="2484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NL workforce query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F46E5"/>
                <w:sz w:val="20"/>
              </w:rPr>
              <w:t>2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6–8 wks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RAG guardrails over verified tables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Mobile app (pulse + approvals)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F46E5"/>
                <w:sz w:val="20"/>
              </w:rPr>
              <w:t>2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8–10 wks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Native build + review</w:t>
            </w:r>
          </w:p>
        </w:tc>
      </w:tr>
      <w:tr>
        <w:tc>
          <w:tcPr>
            <w:tcW w:type="dxa" w:w="2484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Integrations hub (Slack/Teams/Workday)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F46E5"/>
                <w:sz w:val="20"/>
              </w:rPr>
              <w:t>2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6–10 wks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Per-connector, ongoing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Third-party verifier marketplace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F46E5"/>
                <w:sz w:val="20"/>
              </w:rPr>
              <w:t>2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10–12 wks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Partner onboarding model</w:t>
            </w:r>
          </w:p>
        </w:tc>
      </w:tr>
      <w:tr>
        <w:tc>
          <w:tcPr>
            <w:tcW w:type="dxa" w:w="2484"/>
            <w:shd w:val="clear" w:color="auto" w:fill="F8FAFC"/>
            <w:shd w:val="clear" w:color="auto" w:fill="FFFBEB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926A0A"/>
                <w:sz w:val="20"/>
              </w:rPr>
              <w:t>Cross-company credential portability</w:t>
            </w:r>
          </w:p>
        </w:tc>
        <w:tc>
          <w:tcPr>
            <w:tcW w:type="dxa" w:w="2484"/>
            <w:shd w:val="clear" w:color="auto" w:fill="F8FAFC"/>
            <w:shd w:val="clear" w:color="auto" w:fill="FFFBEB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926A0A"/>
                <w:sz w:val="20"/>
              </w:rPr>
              <w:t>2</w:t>
            </w:r>
          </w:p>
        </w:tc>
        <w:tc>
          <w:tcPr>
            <w:tcW w:type="dxa" w:w="2484"/>
            <w:shd w:val="clear" w:color="auto" w:fill="F8FAFC"/>
            <w:shd w:val="clear" w:color="auto" w:fill="FFFBEB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926A0A"/>
                <w:sz w:val="20"/>
              </w:rPr>
              <w:t>8–12 wks</w:t>
            </w:r>
          </w:p>
        </w:tc>
        <w:tc>
          <w:tcPr>
            <w:tcW w:type="dxa" w:w="2484"/>
            <w:shd w:val="clear" w:color="auto" w:fill="F8FAFC"/>
            <w:shd w:val="clear" w:color="auto" w:fill="FFFBEB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926A0A"/>
                <w:sz w:val="20"/>
              </w:rPr>
              <w:t>Consent / legal model (TOP RISK)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Cryptographic credential anchoring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F46E5"/>
                <w:sz w:val="20"/>
              </w:rPr>
              <w:t>3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6–8 wks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Standard must be defined first</w:t>
            </w:r>
          </w:p>
        </w:tc>
      </w:tr>
      <w:tr>
        <w:tc>
          <w:tcPr>
            <w:tcW w:type="dxa" w:w="2484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Pay-equity audit engine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F46E5"/>
                <w:sz w:val="20"/>
              </w:rPr>
              <w:t>3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8–10 wks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Builds on existing equity score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Predictive workforce planning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F46E5"/>
                <w:sz w:val="20"/>
              </w:rPr>
              <w:t>3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~1 quarter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Needs longitudinal data</w:t>
            </w:r>
          </w:p>
        </w:tc>
      </w:tr>
      <w:tr>
        <w:tc>
          <w:tcPr>
            <w:tcW w:type="dxa" w:w="2484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Benchmarking-as-a-service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F46E5"/>
                <w:sz w:val="20"/>
              </w:rPr>
              <w:t>3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~1 quarter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Needs tenant critical mass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Developer / verification API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F46E5"/>
                <w:sz w:val="20"/>
              </w:rPr>
              <w:t>3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~1 quarter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Versioning + rate limiting</w:t>
            </w:r>
          </w:p>
        </w:tc>
      </w:tr>
      <w:tr>
        <w:tc>
          <w:tcPr>
            <w:tcW w:type="dxa" w:w="2484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Autonomous compliance agent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F46E5"/>
                <w:sz w:val="20"/>
              </w:rPr>
              <w:t>3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1–2 quarters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Builds on audit trail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  <w:color w:val="475569"/>
          <w:sz w:val="22"/>
        </w:rPr>
      </w:r>
    </w:p>
    <w:p>
      <w:pPr>
        <w:spacing w:after="60"/>
      </w:pPr>
      <w:r>
        <w:rPr>
          <w:rFonts w:ascii="Calibri" w:hAnsi="Calibri"/>
          <w:b/>
          <w:i w:val="0"/>
          <w:color w:val="475569"/>
          <w:sz w:val="22"/>
        </w:rPr>
        <w:t>Phase 2 total horizon: ~2–3 quarters (features parallelize across the team).</w:t>
      </w:r>
    </w:p>
    <w:p>
      <w:pPr>
        <w:spacing w:after="200"/>
      </w:pPr>
      <w:r>
        <w:rPr>
          <w:rFonts w:ascii="Calibri" w:hAnsi="Calibri"/>
          <w:b/>
          <w:i w:val="0"/>
          <w:color w:val="475569"/>
          <w:sz w:val="22"/>
        </w:rPr>
        <w:t>Phase 3 total horizon: ~12–24 months; several items unlock only at tenant scale.</w:t>
      </w:r>
    </w:p>
    <w:p>
      <w:pPr>
        <w:spacing w:before="200"/>
      </w:pPr>
      <w:r>
        <w:rPr>
          <w:rFonts w:ascii="Calibri" w:hAnsi="Calibri"/>
          <w:b/>
          <w:i w:val="0"/>
          <w:color w:val="0F172A"/>
          <w:sz w:val="26"/>
        </w:rPr>
        <w:t>The One Line to Memorize</w:t>
      </w:r>
    </w:p>
    <w:p>
      <w:pPr>
        <w:ind w:left="432"/>
      </w:pPr>
      <w:r>
        <w:rPr>
          <w:rFonts w:ascii="Calibri" w:hAnsi="Calibri"/>
          <w:b/>
          <w:i/>
          <w:color w:val="4F46E5"/>
          <w:sz w:val="24"/>
        </w:rPr>
        <w:t>“The AI is cheap because it narrates instead of computes — under ~$500 per org per year fully loaded. The roadmap is sequenced by leverage — quick trust wins first, the network play next — and our biggest risk is a consent model, not a line of code.”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