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  <w:jc w:val="left"/>
      </w:pPr>
      <w:r>
        <w:rPr>
          <w:rFonts w:ascii="Cambria" w:cs="Cambria" w:eastAsia="Cambria" w:hAnsi="Cambria"/>
          <w:color w:val="2D3A4A"/>
          <w:sz w:val="22"/>
          <w:szCs w:val="22"/>
        </w:rPr>
        <w:t xml:space="preserve"/>
      </w:r>
    </w:p>
    <w:p>
      <w:pPr>
        <w:spacing w:after="120"/>
        <w:jc w:val="center"/>
      </w:pPr>
      <w:r>
        <w:rPr>
          <w:rFonts w:ascii="Cambria" w:cs="Cambria" w:eastAsia="Cambria" w:hAnsi="Cambria"/>
          <w:b/>
          <w:bCs/>
          <w:color w:val="1B2A41"/>
          <w:sz w:val="24"/>
          <w:szCs w:val="24"/>
        </w:rPr>
        <w:t xml:space="preserve">Prudence Safety &amp; Environmental Consulting, LLC</w:t>
      </w:r>
    </w:p>
    <w:p>
      <w:pPr>
        <w:spacing w:after="400"/>
        <w:jc w:val="center"/>
      </w:pPr>
      <w:r>
        <w:rPr>
          <w:rFonts w:ascii="Cambria" w:cs="Cambria" w:eastAsia="Cambria" w:hAnsi="Cambria"/>
          <w:color w:val="5C6F7E"/>
          <w:sz w:val="20"/>
          <w:szCs w:val="20"/>
        </w:rPr>
        <w:t xml:space="preserve">Germantown, Maryland</w:t>
      </w:r>
    </w:p>
    <w:p>
      <w:pPr>
        <w:spacing w:after="40"/>
        <w:jc w:val="center"/>
      </w:pPr>
      <w:r>
        <w:rPr>
          <w:rFonts w:ascii="Cambria" w:cs="Cambria" w:eastAsia="Cambria" w:hAnsi="Cambria"/>
          <w:b/>
          <w:bCs/>
          <w:color w:val="1B2A41"/>
          <w:sz w:val="44"/>
          <w:szCs w:val="44"/>
        </w:rPr>
        <w:t xml:space="preserve">Indoor Air Quality</w:t>
      </w:r>
    </w:p>
    <w:p>
      <w:pPr>
        <w:spacing w:after="400"/>
        <w:jc w:val="center"/>
      </w:pPr>
      <w:r>
        <w:rPr>
          <w:rFonts w:ascii="Cambria" w:cs="Cambria" w:eastAsia="Cambria" w:hAnsi="Cambria"/>
          <w:b/>
          <w:bCs/>
          <w:color w:val="1B2A41"/>
          <w:sz w:val="44"/>
          <w:szCs w:val="44"/>
        </w:rPr>
        <w:t xml:space="preserve">Assessment Report</w:t>
      </w:r>
    </w:p>
    <w:p>
      <w:pPr>
        <w:spacing w:after="60"/>
        <w:jc w:val="center"/>
      </w:pPr>
      <w:r>
        <w:rPr>
          <w:rFonts w:ascii="Cambria" w:cs="Cambria" w:eastAsia="Cambria" w:hAnsi="Cambria"/>
          <w:color w:val="5C6F7E"/>
          <w:sz w:val="22"/>
          <w:szCs w:val="22"/>
        </w:rPr>
        <w:t xml:space="preserve">Site: Meridian Commerce Tower</w:t>
      </w:r>
    </w:p>
    <w:p>
      <w:pPr>
        <w:spacing w:after="60"/>
        <w:jc w:val="center"/>
      </w:pPr>
      <w:r>
        <w:rPr>
          <w:rFonts w:ascii="Cambria" w:cs="Cambria" w:eastAsia="Cambria" w:hAnsi="Cambria"/>
          <w:color w:val="5C6F7E"/>
          <w:sz w:val="22"/>
          <w:szCs w:val="22"/>
        </w:rPr>
        <w:t xml:space="preserve">Location: 450 Commerce Blvd, Suite 300, Hartford, CT 06103</w:t>
      </w:r>
    </w:p>
    <w:p>
      <w:pPr>
        <w:spacing w:after="60"/>
        <w:jc w:val="center"/>
      </w:pPr>
      <w:r>
        <w:rPr>
          <w:rFonts w:ascii="Cambria" w:cs="Cambria" w:eastAsia="Cambria" w:hAnsi="Cambria"/>
          <w:color w:val="5C6F7E"/>
          <w:sz w:val="22"/>
          <w:szCs w:val="22"/>
        </w:rPr>
        <w:t xml:space="preserve">Assessment Date: April 23, 2026</w:t>
      </w:r>
    </w:p>
    <w:p>
      <w:pPr>
        <w:spacing w:after="60"/>
        <w:jc w:val="center"/>
      </w:pPr>
      <w:r>
        <w:rPr>
          <w:rFonts w:ascii="Cambria" w:cs="Cambria" w:eastAsia="Cambria" w:hAnsi="Cambria"/>
          <w:color w:val="5C6F7E"/>
          <w:sz w:val="22"/>
          <w:szCs w:val="22"/>
        </w:rPr>
        <w:t xml:space="preserve">Report Date: April 23, 2026</w:t>
      </w:r>
    </w:p>
    <w:p>
      <w:pPr>
        <w:spacing w:after="60"/>
        <w:jc w:val="center"/>
      </w:pPr>
      <w:r>
        <w:rPr>
          <w:rFonts w:ascii="Cambria" w:cs="Cambria" w:eastAsia="Cambria" w:hAnsi="Cambria"/>
          <w:color w:val="5C6F7E"/>
          <w:sz w:val="22"/>
          <w:szCs w:val="22"/>
        </w:rPr>
        <w:t xml:space="preserve">Assessor: J. Smith, CIH, CSP</w:t>
      </w:r>
    </w:p>
    <w:p>
      <w:pPr>
        <w:spacing w:after="60"/>
        <w:jc w:val="center"/>
      </w:pPr>
      <w:r>
        <w:rPr>
          <w:rFonts w:ascii="Cambria" w:cs="Cambria" w:eastAsia="Cambria" w:hAnsi="Cambria"/>
          <w:color w:val="5C6F7E"/>
          <w:sz w:val="22"/>
          <w:szCs w:val="22"/>
        </w:rPr>
        <w:t xml:space="preserve">Report ID: PSEC-IAQ-2026-04-7M3</w:t>
      </w:r>
    </w:p>
    <w:p>
      <w:pPr>
        <w:spacing w:after="600"/>
        <w:jc w:val="center"/>
      </w:pPr>
      <w:r>
        <w:rPr>
          <w:rFonts w:ascii="Cambria" w:cs="Cambria" w:eastAsia="Cambria" w:hAnsi="Cambria"/>
          <w:color w:val="7A8A97"/>
          <w:sz w:val="20"/>
          <w:szCs w:val="20"/>
        </w:rPr>
        <w:t xml:space="preserve">Version: 1.0  |  Status: Draft — Pending Professional Review</w:t>
      </w:r>
    </w:p>
    <w:p>
      <w:pPr>
        <w:spacing w:after="120"/>
        <w:jc w:val="center"/>
      </w:pPr>
      <w:r>
        <w:rPr>
          <w:rFonts w:ascii="Cambria" w:cs="Cambria" w:eastAsia="Cambria" w:hAnsi="Cambria"/>
          <w:b/>
          <w:bCs/>
          <w:color w:val="7A8A97"/>
          <w:sz w:val="18"/>
          <w:szCs w:val="18"/>
        </w:rPr>
        <w:t xml:space="preserve">CONFIDENTIAL — FOR CLIENT USE ONLY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200"/>
        <w:jc w:val="left"/>
      </w:pPr>
      <w:r>
        <w:rPr>
          <w:rFonts w:ascii="Cambria" w:cs="Cambria" w:eastAsia="Cambria" w:hAnsi="Cambria"/>
          <w:color w:val="2D3A4A"/>
          <w:sz w:val="22"/>
          <w:szCs w:val="22"/>
        </w:rPr>
        <w:t xml:space="preserve">April 23, 2026</w:t>
      </w:r>
    </w:p>
    <w:p>
      <w:pPr>
        <w:spacing w:after="40"/>
        <w:jc w:val="left"/>
      </w:pPr>
      <w:r>
        <w:rPr>
          <w:rFonts w:ascii="Cambria" w:cs="Cambria" w:eastAsia="Cambria" w:hAnsi="Cambria"/>
          <w:b/>
          <w:bCs/>
          <w:color w:val="1B2A41"/>
          <w:sz w:val="22"/>
          <w:szCs w:val="22"/>
        </w:rPr>
        <w:t xml:space="preserve">Meridian Commerce Tower</w:t>
      </w:r>
    </w:p>
    <w:p>
      <w:pPr>
        <w:spacing w:after="200"/>
        <w:jc w:val="left"/>
      </w:pPr>
      <w:r>
        <w:rPr>
          <w:rFonts w:ascii="Cambria" w:cs="Cambria" w:eastAsia="Cambria" w:hAnsi="Cambria"/>
          <w:color w:val="2D3A4A"/>
          <w:sz w:val="22"/>
          <w:szCs w:val="22"/>
        </w:rPr>
        <w:t xml:space="preserve">450 Commerce Blvd, Suite 300, Hartford, CT 06103</w:t>
      </w:r>
    </w:p>
    <w:p>
      <w:pPr>
        <w:spacing w:after="200"/>
        <w:jc w:val="left"/>
      </w:pPr>
      <w:r>
        <w:rPr>
          <w:rFonts w:ascii="Cambria" w:cs="Cambria" w:eastAsia="Cambria" w:hAnsi="Cambria"/>
          <w:b/>
          <w:bCs/>
          <w:color w:val="1B2A41"/>
          <w:sz w:val="22"/>
          <w:szCs w:val="22"/>
        </w:rPr>
        <w:t xml:space="preserve">Re: Indoor Air Quality Assessment Report</w:t>
      </w:r>
    </w:p>
    <w:p>
      <w:pPr>
        <w:spacing w:after="120"/>
        <w:jc w:val="left"/>
      </w:pPr>
      <w:r>
        <w:rPr>
          <w:rFonts w:ascii="Cambria" w:cs="Cambria" w:eastAsia="Cambria" w:hAnsi="Cambria"/>
          <w:color w:val="2D3A4A"/>
          <w:sz w:val="22"/>
          <w:szCs w:val="22"/>
        </w:rPr>
        <w:t xml:space="preserve">Prudence Safety &amp; Environmental Consulting, LLC ("PSEC") was retained to conduct an indoor air quality assessment at Meridian Commerce Tower. This report presents the findings, analysis, and recommendations resulting from our assessment.</w:t>
      </w:r>
    </w:p>
    <w:p>
      <w:pPr>
        <w:spacing w:after="120"/>
        <w:jc w:val="left"/>
      </w:pPr>
      <w:r>
        <w:rPr>
          <w:rFonts w:ascii="Cambria" w:cs="Cambria" w:eastAsia="Cambria" w:hAnsi="Cambria"/>
          <w:color w:val="2D3A4A"/>
          <w:sz w:val="22"/>
          <w:szCs w:val="22"/>
        </w:rPr>
        <w:t xml:space="preserve">The assessment was performed using direct-reading instrumentation, visual inspection, and structured data collection following our deterministic scoring methodology.</w:t>
      </w:r>
    </w:p>
    <w:p>
      <w:pPr>
        <w:spacing w:after="120"/>
        <w:jc w:val="left"/>
      </w:pPr>
      <w:r>
        <w:rPr>
          <w:rFonts w:ascii="Cambria" w:cs="Cambria" w:eastAsia="Cambria" w:hAnsi="Cambria"/>
          <w:color w:val="2D3A4A"/>
          <w:sz w:val="22"/>
          <w:szCs w:val="22"/>
        </w:rPr>
        <w:t xml:space="preserve">This report is intended for the sole use of the addressee and should not be distributed to third parties without written authorization from PSEC.</w:t>
      </w:r>
    </w:p>
    <w:p>
      <w:pPr>
        <w:spacing w:after="300"/>
        <w:jc w:val="left"/>
      </w:pPr>
      <w:r>
        <w:rPr>
          <w:rFonts w:ascii="Cambria" w:cs="Cambria" w:eastAsia="Cambria" w:hAnsi="Cambria"/>
          <w:color w:val="2D3A4A"/>
          <w:sz w:val="22"/>
          <w:szCs w:val="22"/>
        </w:rPr>
        <w:t xml:space="preserve">Please do not hesitate to contact our office should you have questions regarding this report.</w:t>
      </w:r>
    </w:p>
    <w:p>
      <w:pPr>
        <w:spacing w:after="200"/>
        <w:jc w:val="left"/>
      </w:pPr>
      <w:r>
        <w:rPr>
          <w:rFonts w:ascii="Cambria" w:cs="Cambria" w:eastAsia="Cambria" w:hAnsi="Cambria"/>
          <w:color w:val="2D3A4A"/>
          <w:sz w:val="22"/>
          <w:szCs w:val="22"/>
        </w:rPr>
        <w:t xml:space="preserve">Respectfully submitted,</w:t>
      </w:r>
    </w:p>
    <w:p>
      <w:pPr>
        <w:spacing w:after="40"/>
        <w:jc w:val="left"/>
      </w:pPr>
      <w:r>
        <w:rPr>
          <w:rFonts w:ascii="Cambria" w:cs="Cambria" w:eastAsia="Cambria" w:hAnsi="Cambria"/>
          <w:b/>
          <w:bCs/>
          <w:color w:val="1B2A41"/>
          <w:sz w:val="22"/>
          <w:szCs w:val="22"/>
        </w:rPr>
        <w:t xml:space="preserve">Tsidi Tamakloe, CSP</w:t>
      </w:r>
    </w:p>
    <w:p>
      <w:pPr>
        <w:spacing w:after="40"/>
        <w:jc w:val="left"/>
      </w:pPr>
      <w:r>
        <w:rPr>
          <w:rFonts w:ascii="Cambria" w:cs="Cambria" w:eastAsia="Cambria" w:hAnsi="Cambria"/>
          <w:color w:val="5C6F7E"/>
          <w:sz w:val="20"/>
          <w:szCs w:val="20"/>
        </w:rPr>
        <w:t xml:space="preserve">BCSP #38426</w:t>
      </w:r>
    </w:p>
    <w:p>
      <w:pPr>
        <w:spacing w:after="40"/>
        <w:jc w:val="left"/>
      </w:pPr>
      <w:r>
        <w:rPr>
          <w:rFonts w:ascii="Cambria" w:cs="Cambria" w:eastAsia="Cambria" w:hAnsi="Cambria"/>
          <w:color w:val="5C6F7E"/>
          <w:sz w:val="20"/>
          <w:szCs w:val="20"/>
        </w:rPr>
        <w:t xml:space="preserve">NYSDOL Mold Assessor | NYSDOL Asbestos Inspector</w:t>
      </w:r>
    </w:p>
    <w:p>
      <w:pPr>
        <w:spacing w:after="40"/>
        <w:jc w:val="left"/>
      </w:pPr>
      <w:r>
        <w:rPr>
          <w:rFonts w:ascii="Cambria" w:cs="Cambria" w:eastAsia="Cambria" w:hAnsi="Cambria"/>
          <w:color w:val="5C6F7E"/>
          <w:sz w:val="20"/>
          <w:szCs w:val="20"/>
        </w:rPr>
        <w:t xml:space="preserve">Prudence Safety &amp; Environmental Consulting, LLC</w:t>
      </w:r>
    </w:p>
    <w:p>
      <w:pPr>
        <w:spacing w:after="300"/>
        <w:jc w:val="left"/>
      </w:pPr>
      <w:r>
        <w:rPr>
          <w:rFonts w:ascii="Cambria" w:cs="Cambria" w:eastAsia="Cambria" w:hAnsi="Cambria"/>
          <w:color w:val="5C6F7E"/>
          <w:sz w:val="20"/>
          <w:szCs w:val="20"/>
        </w:rPr>
        <w:t xml:space="preserve">support@prudenceehs.com | 1-(301)-541-8362</w:t>
      </w:r>
    </w:p>
    <w:p>
      <w:pPr>
        <w:pStyle w:val="Heading2"/>
        <w:spacing w:after="120"/>
        <w:jc w:val="left"/>
      </w:pPr>
      <w:r>
        <w:rPr>
          <w:rFonts w:ascii="Cambria" w:cs="Cambria" w:eastAsia="Cambria" w:hAnsi="Cambria"/>
          <w:color w:val="2D3A4A"/>
          <w:sz w:val="22"/>
          <w:szCs w:val="22"/>
        </w:rPr>
        <w:t xml:space="preserve">Table of Contents</w:t>
      </w:r>
    </w:p>
    <w:p>
      <w:pPr>
        <w:spacing w:after="60"/>
        <w:jc w:val="left"/>
      </w:pPr>
      <w:r>
        <w:rPr>
          <w:rFonts w:ascii="Cambria" w:cs="Cambria" w:eastAsia="Cambria" w:hAnsi="Cambria"/>
          <w:color w:val="2D3A4A"/>
          <w:sz w:val="22"/>
          <w:szCs w:val="22"/>
        </w:rPr>
        <w:t xml:space="preserve">1.  Executive Summary</w:t>
      </w:r>
    </w:p>
    <w:p>
      <w:pPr>
        <w:spacing w:after="60"/>
        <w:jc w:val="left"/>
      </w:pPr>
      <w:r>
        <w:rPr>
          <w:rFonts w:ascii="Cambria" w:cs="Cambria" w:eastAsia="Cambria" w:hAnsi="Cambria"/>
          <w:color w:val="2D3A4A"/>
          <w:sz w:val="22"/>
          <w:szCs w:val="22"/>
        </w:rPr>
        <w:t xml:space="preserve">2.  Scope and Methodology</w:t>
      </w:r>
    </w:p>
    <w:p>
      <w:pPr>
        <w:spacing w:after="60"/>
        <w:jc w:val="left"/>
      </w:pPr>
      <w:r>
        <w:rPr>
          <w:rFonts w:ascii="Cambria" w:cs="Cambria" w:eastAsia="Cambria" w:hAnsi="Cambria"/>
          <w:color w:val="2D3A4A"/>
          <w:sz w:val="22"/>
          <w:szCs w:val="22"/>
        </w:rPr>
        <w:t xml:space="preserve">3.  Building and Complaint Context</w:t>
      </w:r>
    </w:p>
    <w:p>
      <w:pPr>
        <w:spacing w:after="60"/>
        <w:jc w:val="left"/>
      </w:pPr>
      <w:r>
        <w:rPr>
          <w:rFonts w:ascii="Cambria" w:cs="Cambria" w:eastAsia="Cambria" w:hAnsi="Cambria"/>
          <w:color w:val="2D3A4A"/>
          <w:sz w:val="22"/>
          <w:szCs w:val="22"/>
        </w:rPr>
        <w:t xml:space="preserve">4.  Overall Findings Dashboard</w:t>
      </w:r>
    </w:p>
    <w:p>
      <w:pPr>
        <w:spacing w:after="60"/>
        <w:jc w:val="left"/>
      </w:pPr>
      <w:r>
        <w:rPr>
          <w:rFonts w:ascii="Cambria" w:cs="Cambria" w:eastAsia="Cambria" w:hAnsi="Cambria"/>
          <w:color w:val="2D3A4A"/>
          <w:sz w:val="22"/>
          <w:szCs w:val="22"/>
        </w:rPr>
        <w:t xml:space="preserve">5.  Zone-by-Zone Findings</w:t>
      </w:r>
    </w:p>
    <w:p>
      <w:pPr>
        <w:spacing w:after="60"/>
        <w:jc w:val="left"/>
      </w:pPr>
      <w:r>
        <w:rPr>
          <w:rFonts w:ascii="Cambria" w:cs="Cambria" w:eastAsia="Cambria" w:hAnsi="Cambria"/>
          <w:color w:val="2D3A4A"/>
          <w:sz w:val="22"/>
          <w:szCs w:val="22"/>
        </w:rPr>
        <w:t xml:space="preserve">6.  Causal Chain Analysis</w:t>
      </w:r>
    </w:p>
    <w:p>
      <w:pPr>
        <w:spacing w:after="60"/>
        <w:jc w:val="left"/>
      </w:pPr>
      <w:r>
        <w:rPr>
          <w:rFonts w:ascii="Cambria" w:cs="Cambria" w:eastAsia="Cambria" w:hAnsi="Cambria"/>
          <w:color w:val="2D3A4A"/>
          <w:sz w:val="22"/>
          <w:szCs w:val="22"/>
        </w:rPr>
        <w:t xml:space="preserve">7.  Recommendations Register</w:t>
      </w:r>
    </w:p>
    <w:p>
      <w:pPr>
        <w:spacing w:after="60"/>
        <w:jc w:val="left"/>
      </w:pPr>
      <w:r>
        <w:rPr>
          <w:rFonts w:ascii="Cambria" w:cs="Cambria" w:eastAsia="Cambria" w:hAnsi="Cambria"/>
          <w:color w:val="2D3A4A"/>
          <w:sz w:val="22"/>
          <w:szCs w:val="22"/>
        </w:rPr>
        <w:t xml:space="preserve">8.  Limitations and Professional Judgment</w:t>
      </w:r>
    </w:p>
    <w:p>
      <w:pPr>
        <w:spacing w:after="60"/>
        <w:jc w:val="left"/>
      </w:pPr>
      <w:r>
        <w:rPr>
          <w:rFonts w:ascii="Cambria" w:cs="Cambria" w:eastAsia="Cambria" w:hAnsi="Cambria"/>
          <w:color w:val="2D3A4A"/>
          <w:sz w:val="22"/>
          <w:szCs w:val="22"/>
        </w:rPr>
        <w:t xml:space="preserve">9.  Appendix A — Raw Measurement Snapshot</w:t>
      </w:r>
    </w:p>
    <w:p>
      <w:pPr>
        <w:spacing w:after="60"/>
        <w:jc w:val="left"/>
      </w:pPr>
      <w:r>
        <w:rPr>
          <w:rFonts w:ascii="Cambria" w:cs="Cambria" w:eastAsia="Cambria" w:hAnsi="Cambria"/>
          <w:color w:val="2D3A4A"/>
          <w:sz w:val="22"/>
          <w:szCs w:val="22"/>
        </w:rPr>
        <w:t xml:space="preserve">10.  Appendix B — Transparent Scoring Summary</w:t>
      </w:r>
    </w:p>
    <w:p>
      <w:pPr>
        <w:pStyle w:val="Heading2"/>
        <w:spacing w:after="120"/>
        <w:jc w:val="left"/>
      </w:pPr>
      <w:r>
        <w:rPr>
          <w:rFonts w:ascii="Cambria" w:cs="Cambria" w:eastAsia="Cambria" w:hAnsi="Cambria"/>
          <w:color w:val="2D3A4A"/>
          <w:sz w:val="22"/>
          <w:szCs w:val="22"/>
        </w:rPr>
        <w:t xml:space="preserve">Executive Summary</w:t>
      </w:r>
    </w:p>
    <w:p>
      <w:pPr>
        <w:spacing w:after="120"/>
        <w:jc w:val="left"/>
      </w:pPr>
      <w:r>
        <w:rPr>
          <w:rFonts w:ascii="Cambria" w:cs="Cambria" w:eastAsia="Cambria" w:hAnsi="Cambria"/>
          <w:color w:val="5C6F7E"/>
          <w:sz w:val="22"/>
          <w:szCs w:val="22"/>
        </w:rPr>
        <w:t xml:space="preserve">An indoor air quality assessment was conducted at Meridian Commerce Tower on April 23, 2026, encompassing 3 zones in response to occupant complaints. The assessment included direct-reading instrument measurements, visual inspection, HVAC system evaluation, and occupant complaint documentation.</w:t>
      </w:r>
    </w:p>
    <w:p>
      <w:pPr>
        <w:spacing w:after="120"/>
        <w:jc w:val="left"/>
      </w:pPr>
      <w:r>
        <w:rPr>
          <w:rFonts w:ascii="Cambria" w:cs="Cambria" w:eastAsia="Cambria" w:hAnsi="Cambria"/>
          <w:color w:val="5C6F7E"/>
          <w:sz w:val="22"/>
          <w:szCs w:val="22"/>
        </w:rPr>
        <w:t xml:space="preserve">Conditions observed during the assessment window suggest moderate indoor air quality concerns. The composite score of 62/100 reflects a weighted evaluation across five categories, with Ventilation (10/25) identified as the primary area of concern.</w:t>
      </w:r>
    </w:p>
    <w:p>
      <w:pPr>
        <w:spacing w:after="120"/>
        <w:jc w:val="left"/>
      </w:pPr>
      <w:r>
        <w:rPr>
          <w:rFonts w:ascii="Cambria" w:cs="Cambria" w:eastAsia="Cambria" w:hAnsi="Cambria"/>
          <w:color w:val="5C6F7E"/>
          <w:sz w:val="22"/>
          <w:szCs w:val="22"/>
        </w:rPr>
        <w:t xml:space="preserve">Priority actions include: Evaluate outdoor air delivery rate and verify OA damper position. Additional engineering and administrative recommendations are detailed in the Recommendations Register.</w:t>
      </w:r>
    </w:p>
    <w:p>
      <w:pPr>
        <w:pStyle w:val="Heading2"/>
        <w:spacing w:after="120"/>
        <w:jc w:val="left"/>
      </w:pPr>
      <w:r>
        <w:rPr>
          <w:rFonts w:ascii="Cambria" w:cs="Cambria" w:eastAsia="Cambria" w:hAnsi="Cambria"/>
          <w:color w:val="2D3A4A"/>
          <w:sz w:val="22"/>
          <w:szCs w:val="22"/>
        </w:rPr>
        <w:t xml:space="preserve">Scope and Methodology</w:t>
      </w:r>
    </w:p>
    <w:p>
      <w:pPr>
        <w:spacing w:after="120"/>
        <w:jc w:val="left"/>
      </w:pPr>
      <w:r>
        <w:rPr>
          <w:rFonts w:ascii="Cambria" w:cs="Cambria" w:eastAsia="Cambria" w:hAnsi="Cambria"/>
          <w:color w:val="5C6F7E"/>
          <w:sz w:val="22"/>
          <w:szCs w:val="22"/>
        </w:rPr>
        <w:t xml:space="preserve">Purpose: This assessment was conducted to evaluate indoor air quality conditions in response to occupant complaints at Meridian Commerce Tower.</w:t>
      </w:r>
    </w:p>
    <w:p>
      <w:pPr>
        <w:spacing w:after="120"/>
        <w:jc w:val="left"/>
      </w:pPr>
      <w:r>
        <w:rPr>
          <w:rFonts w:ascii="Cambria" w:cs="Cambria" w:eastAsia="Cambria" w:hAnsi="Cambria"/>
          <w:color w:val="5C6F7E"/>
          <w:sz w:val="22"/>
          <w:szCs w:val="22"/>
        </w:rPr>
        <w:t xml:space="preserve">Areas assessed: 3rd Floor Open Office, Conference Room B, Break Room.</w:t>
      </w:r>
    </w:p>
    <w:p>
      <w:pPr>
        <w:spacing w:after="120"/>
        <w:jc w:val="left"/>
      </w:pPr>
      <w:r>
        <w:rPr>
          <w:rFonts w:ascii="Cambria" w:cs="Cambria" w:eastAsia="Cambria" w:hAnsi="Cambria"/>
          <w:color w:val="5C6F7E"/>
          <w:sz w:val="22"/>
          <w:szCs w:val="22"/>
        </w:rPr>
        <w:t xml:space="preserve">Assessment activities: Visual inspection, real-time direct-reading instrument measurements, occupant complaint documentation, HVAC system evaluation, and moisture/mold screening.</w:t>
      </w:r>
    </w:p>
    <w:p>
      <w:pPr>
        <w:spacing w:after="120"/>
        <w:jc w:val="left"/>
      </w:pPr>
      <w:r>
        <w:rPr>
          <w:rFonts w:ascii="Cambria" w:cs="Cambria" w:eastAsia="Cambria" w:hAnsi="Cambria"/>
          <w:color w:val="5C6F7E"/>
          <w:sz w:val="22"/>
          <w:szCs w:val="22"/>
        </w:rPr>
        <w:t xml:space="preserve">Standards referenced per AIHA exposure assessment strategy (Ignacio &amp; Bullock, 2015). Standards versions per embedded manifest.</w:t>
      </w:r>
    </w:p>
    <w:p>
      <w:pPr>
        <w:pStyle w:val="Heading2"/>
        <w:spacing w:after="120"/>
        <w:jc w:val="left"/>
      </w:pPr>
      <w:r>
        <w:rPr>
          <w:rFonts w:ascii="Cambria" w:cs="Cambria" w:eastAsia="Cambria" w:hAnsi="Cambria"/>
          <w:color w:val="2D3A4A"/>
          <w:sz w:val="22"/>
          <w:szCs w:val="22"/>
        </w:rPr>
        <w:t xml:space="preserve">Limitations and Professional Judgment</w:t>
      </w:r>
    </w:p>
    <w:p>
      <w:pPr>
        <w:spacing w:after="120"/>
        <w:jc w:val="left"/>
      </w:pPr>
      <w:r>
        <w:rPr>
          <w:rFonts w:ascii="Cambria" w:cs="Cambria" w:eastAsia="Cambria" w:hAnsi="Cambria"/>
          <w:color w:val="5C6F7E"/>
          <w:sz w:val="22"/>
          <w:szCs w:val="22"/>
        </w:rPr>
        <w:t xml:space="preserve">This report represents conditions observed during a single assessment event and may not reflect all temporal, seasonal, or operational variations in indoor air quality.</w:t>
      </w:r>
    </w:p>
    <w:p>
      <w:pPr>
        <w:spacing w:after="120"/>
        <w:jc w:val="left"/>
      </w:pPr>
      <w:r>
        <w:rPr>
          <w:rFonts w:ascii="Cambria" w:cs="Cambria" w:eastAsia="Cambria" w:hAnsi="Cambria"/>
          <w:color w:val="5C6F7E"/>
          <w:sz w:val="22"/>
          <w:szCs w:val="22"/>
        </w:rPr>
        <w:t xml:space="preserve">This report is intended to support — not replace — professional judgment by a qualified industrial hygienist or EHS professional.</w:t>
      </w:r>
    </w:p>
    <w:p>
      <w:pPr>
        <w:spacing w:after="40"/>
        <w:jc w:val="center"/>
      </w:pPr>
      <w:r>
        <w:rPr>
          <w:rFonts w:ascii="Cambria" w:cs="Cambria" w:eastAsia="Cambria" w:hAnsi="Cambria"/>
          <w:color w:val="94A3B8"/>
          <w:sz w:val="14"/>
          <w:szCs w:val="14"/>
        </w:rPr>
        <w:t xml:space="preserve">Prudence Safety &amp; Environmental Consulting, LLC  |  Report ID: PSEC-IAQ-2026-04-7M3  |  April 23, 2026</w:t>
      </w:r>
    </w:p>
    <w:p>
      <w:pPr>
        <w:spacing w:after="120"/>
        <w:jc w:val="center"/>
      </w:pPr>
      <w:r>
        <w:rPr>
          <w:rFonts w:ascii="Cambria" w:cs="Cambria" w:eastAsia="Cambria" w:hAnsi="Cambria"/>
          <w:i/>
          <w:iCs/>
          <w:color w:val="94A3B8"/>
          <w:sz w:val="14"/>
          <w:szCs w:val="14"/>
        </w:rPr>
        <w:t xml:space="preserve">Confidential — This report is intended for the client identified above and should not be distributed to third parties without authorization.</w:t>
      </w:r>
    </w:p>
    <w:sectPr>
      <w:type w:val="nextPage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color w:val="2D3A4A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IAQ Assessment Report — Meridian Commerce Tower</dc:title>
  <dc:creator>Prudence Safety &amp; Environmental Consulting, LLC</dc:creator>
  <cp:lastModifiedBy>Un-named</cp:lastModifiedBy>
  <cp:revision>1</cp:revision>
  <dcterms:created xsi:type="dcterms:W3CDTF">2026-04-23T09:50:59.794Z</dcterms:created>
  <dcterms:modified xsi:type="dcterms:W3CDTF">2026-04-23T09:50:59.794Z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