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70E1" w14:textId="77777777" w:rsidR="00CC603E" w:rsidRPr="00CC603E" w:rsidRDefault="00CC603E" w:rsidP="00CC603E">
      <w:pPr>
        <w:shd w:val="clear" w:color="auto" w:fill="1F1F1F"/>
        <w:spacing w:line="270" w:lineRule="atLeast"/>
        <w:rPr>
          <w:rFonts w:ascii="Menlo" w:eastAsia="Times New Roman" w:hAnsi="Menlo" w:cs="Menlo"/>
          <w:color w:val="CCCCCC"/>
          <w:kern w:val="0"/>
          <w:sz w:val="18"/>
          <w:szCs w:val="18"/>
          <w:lang w:eastAsia="en-GB"/>
          <w14:ligatures w14:val="none"/>
        </w:rPr>
      </w:pPr>
      <w:r>
        <w:rPr>
          <w:lang w:val="en-US"/>
        </w:rPr>
        <w:t xml:space="preserve">Secured </w:t>
      </w:r>
      <w:proofErr w:type="gramStart"/>
      <w:r>
        <w:rPr>
          <w:lang w:val="en-US"/>
        </w:rPr>
        <w:t>Credit(</w:t>
      </w:r>
      <w:proofErr w:type="gramEnd"/>
      <w:r>
        <w:rPr>
          <w:lang w:val="en-US"/>
        </w:rPr>
        <w:t>Readme)</w:t>
      </w:r>
      <w:r>
        <w:rPr>
          <w:lang w:val="en-US"/>
        </w:rPr>
        <w:br/>
      </w:r>
      <w:r>
        <w:rPr>
          <w:lang w:val="en-US"/>
        </w:rPr>
        <w:br/>
      </w:r>
      <w:r>
        <w:rPr>
          <w:lang w:val="en-US"/>
        </w:rPr>
        <w:br/>
      </w:r>
      <w:r w:rsidRPr="00CC603E">
        <w:rPr>
          <w:rFonts w:ascii="Menlo" w:eastAsia="Times New Roman" w:hAnsi="Menlo" w:cs="Menlo"/>
          <w:b/>
          <w:bCs/>
          <w:color w:val="569CD6"/>
          <w:kern w:val="0"/>
          <w:sz w:val="18"/>
          <w:szCs w:val="18"/>
          <w:lang w:eastAsia="en-GB"/>
          <w14:ligatures w14:val="none"/>
        </w:rPr>
        <w:t># Secured Credit (Instant Liquidity)</w:t>
      </w:r>
    </w:p>
    <w:p w14:paraId="05BC6BC4"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87EF3A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This document provides a comprehensive overview of the </w:t>
      </w:r>
      <w:r w:rsidRPr="00CC603E">
        <w:rPr>
          <w:rFonts w:ascii="Menlo" w:eastAsia="Times New Roman" w:hAnsi="Menlo" w:cs="Menlo"/>
          <w:b/>
          <w:bCs/>
          <w:color w:val="569CD6"/>
          <w:kern w:val="0"/>
          <w:sz w:val="18"/>
          <w:szCs w:val="18"/>
          <w:lang w:eastAsia="en-GB"/>
          <w14:ligatures w14:val="none"/>
        </w:rPr>
        <w:t>**Secured Credit (Instant Liquidity)**</w:t>
      </w:r>
      <w:r w:rsidRPr="00CC603E">
        <w:rPr>
          <w:rFonts w:ascii="Menlo" w:eastAsia="Times New Roman" w:hAnsi="Menlo" w:cs="Menlo"/>
          <w:color w:val="CCCCCC"/>
          <w:kern w:val="0"/>
          <w:sz w:val="18"/>
          <w:szCs w:val="18"/>
          <w:lang w:eastAsia="en-GB"/>
          <w14:ligatures w14:val="none"/>
        </w:rPr>
        <w:t xml:space="preserve"> feature within the MufaroMint platform. It details how the logic works, why specific rules are in place, the underlying calculations, and how the database handles the loan lifecycle.</w:t>
      </w:r>
    </w:p>
    <w:p w14:paraId="29552E8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3E685A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Overview</w:t>
      </w:r>
    </w:p>
    <w:p w14:paraId="7DA20944"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The "Instant Liquidity" feature allows users to borrow cash against their eligible stock holdings without selling them. By pledging their assets as collateral, users receive an immediate cash injection (a secured loan) at favorable interest rates, leveraging the value of their portfolio.</w:t>
      </w:r>
    </w:p>
    <w:p w14:paraId="4C4A7F59"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10446BB"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1. The Lending Calculator (</w:t>
      </w:r>
      <w:r w:rsidRPr="00CC603E">
        <w:rPr>
          <w:rFonts w:ascii="Menlo" w:eastAsia="Times New Roman" w:hAnsi="Menlo" w:cs="Menlo"/>
          <w:b/>
          <w:bCs/>
          <w:color w:val="CE9178"/>
          <w:kern w:val="0"/>
          <w:sz w:val="18"/>
          <w:szCs w:val="18"/>
          <w:lang w:eastAsia="en-GB"/>
          <w14:ligatures w14:val="none"/>
        </w:rPr>
        <w:t>`securedLoanCalc.js`</w:t>
      </w:r>
      <w:r w:rsidRPr="00CC603E">
        <w:rPr>
          <w:rFonts w:ascii="Menlo" w:eastAsia="Times New Roman" w:hAnsi="Menlo" w:cs="Menlo"/>
          <w:b/>
          <w:bCs/>
          <w:color w:val="569CD6"/>
          <w:kern w:val="0"/>
          <w:sz w:val="18"/>
          <w:szCs w:val="18"/>
          <w:lang w:eastAsia="en-GB"/>
          <w14:ligatures w14:val="none"/>
        </w:rPr>
        <w:t>)</w:t>
      </w:r>
    </w:p>
    <w:p w14:paraId="7C1A661F"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The core financial math is handled by a self-contained calculator designed specifically for secured credit. It adheres to South African National Credit Act (NCA) regulations and uses standardized interest rates.</w:t>
      </w:r>
    </w:p>
    <w:p w14:paraId="1BCCAC93"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60539E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Key Financial Parameters</w:t>
      </w:r>
    </w:p>
    <w:p w14:paraId="618A223C"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**Interest Rate:**</w:t>
      </w:r>
      <w:r w:rsidRPr="00CC603E">
        <w:rPr>
          <w:rFonts w:ascii="Menlo" w:eastAsia="Times New Roman" w:hAnsi="Menlo" w:cs="Menlo"/>
          <w:color w:val="CCCCCC"/>
          <w:kern w:val="0"/>
          <w:sz w:val="18"/>
          <w:szCs w:val="18"/>
          <w:lang w:eastAsia="en-GB"/>
          <w14:ligatures w14:val="none"/>
        </w:rPr>
        <w:t xml:space="preserve"> Tied to the SA Prime Rate (10.5% per annum), which translates to approximately 0.875% per month. Interest is accrued daily.</w:t>
      </w:r>
    </w:p>
    <w:p w14:paraId="0B504C2A"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**Monthly Service Fee:**</w:t>
      </w:r>
      <w:r w:rsidRPr="00CC603E">
        <w:rPr>
          <w:rFonts w:ascii="Menlo" w:eastAsia="Times New Roman" w:hAnsi="Menlo" w:cs="Menlo"/>
          <w:color w:val="CCCCCC"/>
          <w:kern w:val="0"/>
          <w:sz w:val="18"/>
          <w:szCs w:val="18"/>
          <w:lang w:eastAsia="en-GB"/>
          <w14:ligatures w14:val="none"/>
        </w:rPr>
        <w:t xml:space="preserve"> R69.00 per month, charged daily over the term.</w:t>
      </w:r>
    </w:p>
    <w:p w14:paraId="22869E1C"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**Initiation Fee (NCR Capped):**</w:t>
      </w:r>
      <w:r w:rsidRPr="00CC603E">
        <w:rPr>
          <w:rFonts w:ascii="Menlo" w:eastAsia="Times New Roman" w:hAnsi="Menlo" w:cs="Menlo"/>
          <w:color w:val="CCCCCC"/>
          <w:kern w:val="0"/>
          <w:sz w:val="18"/>
          <w:szCs w:val="18"/>
          <w:lang w:eastAsia="en-GB"/>
          <w14:ligatures w14:val="none"/>
        </w:rPr>
        <w:t xml:space="preserve"> </w:t>
      </w:r>
    </w:p>
    <w:p w14:paraId="216C4A2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For principal ≤ R1000: Flat R165 fee.</w:t>
      </w:r>
    </w:p>
    <w:p w14:paraId="52657390"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For principal &gt; R1000: R165 + 10% of the amount above R1000.</w:t>
      </w:r>
    </w:p>
    <w:p w14:paraId="190F3A6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The maximum initiation fee is capped at R1050.</w:t>
      </w:r>
    </w:p>
    <w:p w14:paraId="784021C9"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4F5D07D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The 4-Day Salary Rule</w:t>
      </w:r>
    </w:p>
    <w:p w14:paraId="3F02ABA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To ensure users aren't immediately hit with a repayment right after taking the loan, the calculator implements the </w:t>
      </w:r>
      <w:r w:rsidRPr="00CC603E">
        <w:rPr>
          <w:rFonts w:ascii="Menlo" w:eastAsia="Times New Roman" w:hAnsi="Menlo" w:cs="Menlo"/>
          <w:b/>
          <w:bCs/>
          <w:color w:val="569CD6"/>
          <w:kern w:val="0"/>
          <w:sz w:val="18"/>
          <w:szCs w:val="18"/>
          <w:lang w:eastAsia="en-GB"/>
          <w14:ligatures w14:val="none"/>
        </w:rPr>
        <w:t>**4-Day Rule**</w:t>
      </w:r>
      <w:r w:rsidRPr="00CC603E">
        <w:rPr>
          <w:rFonts w:ascii="Menlo" w:eastAsia="Times New Roman" w:hAnsi="Menlo" w:cs="Menlo"/>
          <w:color w:val="CCCCCC"/>
          <w:kern w:val="0"/>
          <w:sz w:val="18"/>
          <w:szCs w:val="18"/>
          <w:lang w:eastAsia="en-GB"/>
          <w14:ligatures w14:val="none"/>
        </w:rPr>
        <w:t>:</w:t>
      </w:r>
    </w:p>
    <w:p w14:paraId="647F283C"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If a user's next verified salary date falls within 4 days of the loan origination date, the first repayment date is automatically pushed to the </w:t>
      </w:r>
      <w:r w:rsidRPr="00CC603E">
        <w:rPr>
          <w:rFonts w:ascii="Menlo" w:eastAsia="Times New Roman" w:hAnsi="Menlo" w:cs="Menlo"/>
          <w:i/>
          <w:iCs/>
          <w:color w:val="CCCCCC"/>
          <w:kern w:val="0"/>
          <w:sz w:val="18"/>
          <w:szCs w:val="18"/>
          <w:lang w:eastAsia="en-GB"/>
          <w14:ligatures w14:val="none"/>
        </w:rPr>
        <w:t>*following*</w:t>
      </w:r>
      <w:r w:rsidRPr="00CC603E">
        <w:rPr>
          <w:rFonts w:ascii="Menlo" w:eastAsia="Times New Roman" w:hAnsi="Menlo" w:cs="Menlo"/>
          <w:color w:val="CCCCCC"/>
          <w:kern w:val="0"/>
          <w:sz w:val="18"/>
          <w:szCs w:val="18"/>
          <w:lang w:eastAsia="en-GB"/>
          <w14:ligatures w14:val="none"/>
        </w:rPr>
        <w:t xml:space="preserve"> month. This safety buffer prevents negative or extremely short interest accrual periods and gives the user adequate time to prepare for their first deduction (ideal for DebiCheck mandates).</w:t>
      </w:r>
    </w:p>
    <w:p w14:paraId="7D378373"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55BAC41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2. Collateral Eligibility and Scoring</w:t>
      </w:r>
    </w:p>
    <w:p w14:paraId="7900B29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Not all assets can be used as collateral. The system queries the </w:t>
      </w:r>
      <w:r w:rsidRPr="00CC603E">
        <w:rPr>
          <w:rFonts w:ascii="Menlo" w:eastAsia="Times New Roman" w:hAnsi="Menlo" w:cs="Menlo"/>
          <w:color w:val="CE9178"/>
          <w:kern w:val="0"/>
          <w:sz w:val="18"/>
          <w:szCs w:val="18"/>
          <w:lang w:eastAsia="en-GB"/>
          <w14:ligatures w14:val="none"/>
        </w:rPr>
        <w:t>`stock_holdings_c`</w:t>
      </w:r>
      <w:r w:rsidRPr="00CC603E">
        <w:rPr>
          <w:rFonts w:ascii="Menlo" w:eastAsia="Times New Roman" w:hAnsi="Menlo" w:cs="Menlo"/>
          <w:color w:val="CCCCCC"/>
          <w:kern w:val="0"/>
          <w:sz w:val="18"/>
          <w:szCs w:val="18"/>
          <w:lang w:eastAsia="en-GB"/>
          <w14:ligatures w14:val="none"/>
        </w:rPr>
        <w:t xml:space="preserve"> and </w:t>
      </w:r>
      <w:r w:rsidRPr="00CC603E">
        <w:rPr>
          <w:rFonts w:ascii="Menlo" w:eastAsia="Times New Roman" w:hAnsi="Menlo" w:cs="Menlo"/>
          <w:color w:val="CE9178"/>
          <w:kern w:val="0"/>
          <w:sz w:val="18"/>
          <w:szCs w:val="18"/>
          <w:lang w:eastAsia="en-GB"/>
          <w14:ligatures w14:val="none"/>
        </w:rPr>
        <w:t>`securities_c`</w:t>
      </w:r>
      <w:r w:rsidRPr="00CC603E">
        <w:rPr>
          <w:rFonts w:ascii="Menlo" w:eastAsia="Times New Roman" w:hAnsi="Menlo" w:cs="Menlo"/>
          <w:color w:val="CCCCCC"/>
          <w:kern w:val="0"/>
          <w:sz w:val="18"/>
          <w:szCs w:val="18"/>
          <w:lang w:eastAsia="en-GB"/>
          <w14:ligatures w14:val="none"/>
        </w:rPr>
        <w:t xml:space="preserve"> tables to determine what a user can pledge.</w:t>
      </w:r>
    </w:p>
    <w:p w14:paraId="2AD032B5"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0361A28"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Eligibility Rules</w:t>
      </w:r>
    </w:p>
    <w:p w14:paraId="0696203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**Non-MINT Assets:**</w:t>
      </w:r>
      <w:r w:rsidRPr="00CC603E">
        <w:rPr>
          <w:rFonts w:ascii="Menlo" w:eastAsia="Times New Roman" w:hAnsi="Menlo" w:cs="Menlo"/>
          <w:color w:val="CCCCCC"/>
          <w:kern w:val="0"/>
          <w:sz w:val="18"/>
          <w:szCs w:val="18"/>
          <w:lang w:eastAsia="en-GB"/>
          <w14:ligatures w14:val="none"/>
        </w:rPr>
        <w:t xml:space="preserve"> Only external securities (not on the MINT exchange) are eligible.</w:t>
      </w:r>
    </w:p>
    <w:p w14:paraId="485D98FE"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**Disqualified Assets:**</w:t>
      </w:r>
      <w:r w:rsidRPr="00CC603E">
        <w:rPr>
          <w:rFonts w:ascii="Menlo" w:eastAsia="Times New Roman" w:hAnsi="Menlo" w:cs="Menlo"/>
          <w:color w:val="CCCCCC"/>
          <w:kern w:val="0"/>
          <w:sz w:val="18"/>
          <w:szCs w:val="18"/>
          <w:lang w:eastAsia="en-GB"/>
          <w14:ligatures w14:val="none"/>
        </w:rPr>
        <w:t xml:space="preserve"> If a security is marked as </w:t>
      </w:r>
      <w:r w:rsidRPr="00CC603E">
        <w:rPr>
          <w:rFonts w:ascii="Menlo" w:eastAsia="Times New Roman" w:hAnsi="Menlo" w:cs="Menlo"/>
          <w:color w:val="CE9178"/>
          <w:kern w:val="0"/>
          <w:sz w:val="18"/>
          <w:szCs w:val="18"/>
          <w:lang w:eastAsia="en-GB"/>
          <w14:ligatures w14:val="none"/>
        </w:rPr>
        <w:t>`disqualified`</w:t>
      </w:r>
      <w:r w:rsidRPr="00CC603E">
        <w:rPr>
          <w:rFonts w:ascii="Menlo" w:eastAsia="Times New Roman" w:hAnsi="Menlo" w:cs="Menlo"/>
          <w:color w:val="CCCCCC"/>
          <w:kern w:val="0"/>
          <w:sz w:val="18"/>
          <w:szCs w:val="18"/>
          <w:lang w:eastAsia="en-GB"/>
          <w14:ligatures w14:val="none"/>
        </w:rPr>
        <w:t xml:space="preserve"> (e.g., due to extreme volatility, delisting, etc.), its available borrowing power becomes 0.</w:t>
      </w:r>
    </w:p>
    <w:p w14:paraId="49C33405"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0AF854C"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Collateral Metrics</w:t>
      </w:r>
    </w:p>
    <w:p w14:paraId="48999A83"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lastRenderedPageBreak/>
        <w:t>Each security has intrinsic properties that dictate how much cash it can secure:</w:t>
      </w:r>
    </w:p>
    <w:p w14:paraId="47C96EA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**LTV (Loan-to-Value) Percentage:**</w:t>
      </w:r>
      <w:r w:rsidRPr="00CC603E">
        <w:rPr>
          <w:rFonts w:ascii="Menlo" w:eastAsia="Times New Roman" w:hAnsi="Menlo" w:cs="Menlo"/>
          <w:color w:val="CCCCCC"/>
          <w:kern w:val="0"/>
          <w:sz w:val="18"/>
          <w:szCs w:val="18"/>
          <w:lang w:eastAsia="en-GB"/>
          <w14:ligatures w14:val="none"/>
        </w:rPr>
        <w:t xml:space="preserve"> Determines the maximum borrowing capacity. If a stock is worth R100 and its LTV is 60%, the user can borrow up to R60 against it.</w:t>
      </w:r>
    </w:p>
    <w:p w14:paraId="15A5E49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**Collateral Score:**</w:t>
      </w:r>
      <w:r w:rsidRPr="00CC603E">
        <w:rPr>
          <w:rFonts w:ascii="Menlo" w:eastAsia="Times New Roman" w:hAnsi="Menlo" w:cs="Menlo"/>
          <w:color w:val="CCCCCC"/>
          <w:kern w:val="0"/>
          <w:sz w:val="18"/>
          <w:szCs w:val="18"/>
          <w:lang w:eastAsia="en-GB"/>
          <w14:ligatures w14:val="none"/>
        </w:rPr>
        <w:t xml:space="preserve"> A weighted metric to assess asset quality. It combines:</w:t>
      </w:r>
    </w:p>
    <w:p w14:paraId="183E4C7F"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Liquidity (40%)</w:t>
      </w:r>
    </w:p>
    <w:p w14:paraId="290951FF"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Volatility (40%)</w:t>
      </w:r>
    </w:p>
    <w:p w14:paraId="659B5D68"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Market Cap (20%)</w:t>
      </w:r>
    </w:p>
    <w:p w14:paraId="145B3A59"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**Margin Call Percentage:**</w:t>
      </w:r>
      <w:r w:rsidRPr="00CC603E">
        <w:rPr>
          <w:rFonts w:ascii="Menlo" w:eastAsia="Times New Roman" w:hAnsi="Menlo" w:cs="Menlo"/>
          <w:color w:val="CCCCCC"/>
          <w:kern w:val="0"/>
          <w:sz w:val="18"/>
          <w:szCs w:val="18"/>
          <w:lang w:eastAsia="en-GB"/>
          <w14:ligatures w14:val="none"/>
        </w:rPr>
        <w:t xml:space="preserve"> The threshold at which a margin call is triggered.</w:t>
      </w:r>
    </w:p>
    <w:p w14:paraId="0ADA1A7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**Auto-Liquidation Percentage:**</w:t>
      </w:r>
      <w:r w:rsidRPr="00CC603E">
        <w:rPr>
          <w:rFonts w:ascii="Menlo" w:eastAsia="Times New Roman" w:hAnsi="Menlo" w:cs="Menlo"/>
          <w:color w:val="CCCCCC"/>
          <w:kern w:val="0"/>
          <w:sz w:val="18"/>
          <w:szCs w:val="18"/>
          <w:lang w:eastAsia="en-GB"/>
          <w14:ligatures w14:val="none"/>
        </w:rPr>
        <w:t xml:space="preserve"> The absolute risk threshold where the system automatically liquidates the collateral to recover the principal.</w:t>
      </w:r>
    </w:p>
    <w:p w14:paraId="6C35E832"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B19C35E"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The Liquidation Safety Bar</w:t>
      </w:r>
    </w:p>
    <w:p w14:paraId="5668DB1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During the pledge process, a dynamic UI component helps the user visualize their risk. It maps their requested loan amount against the combined Margin Call and Auto-Liquidation thresholds of their selected portfolio. Keeping the slider in the "Secure Range" (green) ensures the user is safe from sudden market dips.</w:t>
      </w:r>
    </w:p>
    <w:p w14:paraId="0FA90700"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27E4D1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3. The Pledge Process &amp; Database Architecture</w:t>
      </w:r>
    </w:p>
    <w:p w14:paraId="226026C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When a user confirms a pledge, the system executes a sequence of data insertions to represent the loan and secure the assets.</w:t>
      </w:r>
    </w:p>
    <w:p w14:paraId="5DBC555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D22DB8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1.</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**Loan Creation (</w:t>
      </w:r>
      <w:r w:rsidRPr="00CC603E">
        <w:rPr>
          <w:rFonts w:ascii="Menlo" w:eastAsia="Times New Roman" w:hAnsi="Menlo" w:cs="Menlo"/>
          <w:b/>
          <w:bCs/>
          <w:color w:val="CE9178"/>
          <w:kern w:val="0"/>
          <w:sz w:val="18"/>
          <w:szCs w:val="18"/>
          <w:lang w:eastAsia="en-GB"/>
          <w14:ligatures w14:val="none"/>
        </w:rPr>
        <w:t>`loan_application`</w:t>
      </w:r>
      <w:r w:rsidRPr="00CC603E">
        <w:rPr>
          <w:rFonts w:ascii="Menlo" w:eastAsia="Times New Roman" w:hAnsi="Menlo" w:cs="Menlo"/>
          <w:b/>
          <w:bCs/>
          <w:color w:val="569CD6"/>
          <w:kern w:val="0"/>
          <w:sz w:val="18"/>
          <w:szCs w:val="18"/>
          <w:lang w:eastAsia="en-GB"/>
          <w14:ligatures w14:val="none"/>
        </w:rPr>
        <w:t xml:space="preserve"> table):**</w:t>
      </w:r>
      <w:r w:rsidRPr="00CC603E">
        <w:rPr>
          <w:rFonts w:ascii="Menlo" w:eastAsia="Times New Roman" w:hAnsi="Menlo" w:cs="Menlo"/>
          <w:color w:val="CCCCCC"/>
          <w:kern w:val="0"/>
          <w:sz w:val="18"/>
          <w:szCs w:val="18"/>
          <w:lang w:eastAsia="en-GB"/>
          <w14:ligatures w14:val="none"/>
        </w:rPr>
        <w:t xml:space="preserve"> </w:t>
      </w:r>
    </w:p>
    <w:p w14:paraId="5D4C734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A new record is created with </w:t>
      </w:r>
      <w:r w:rsidRPr="00CC603E">
        <w:rPr>
          <w:rFonts w:ascii="Menlo" w:eastAsia="Times New Roman" w:hAnsi="Menlo" w:cs="Menlo"/>
          <w:color w:val="CE9178"/>
          <w:kern w:val="0"/>
          <w:sz w:val="18"/>
          <w:szCs w:val="18"/>
          <w:lang w:eastAsia="en-GB"/>
          <w14:ligatures w14:val="none"/>
        </w:rPr>
        <w:t>`Secured_Unsecured`</w:t>
      </w:r>
      <w:r w:rsidRPr="00CC603E">
        <w:rPr>
          <w:rFonts w:ascii="Menlo" w:eastAsia="Times New Roman" w:hAnsi="Menlo" w:cs="Menlo"/>
          <w:color w:val="CCCCCC"/>
          <w:kern w:val="0"/>
          <w:sz w:val="18"/>
          <w:szCs w:val="18"/>
          <w:lang w:eastAsia="en-GB"/>
          <w14:ligatures w14:val="none"/>
        </w:rPr>
        <w:t xml:space="preserve"> set to </w:t>
      </w:r>
      <w:r w:rsidRPr="00CC603E">
        <w:rPr>
          <w:rFonts w:ascii="Menlo" w:eastAsia="Times New Roman" w:hAnsi="Menlo" w:cs="Menlo"/>
          <w:color w:val="CE9178"/>
          <w:kern w:val="0"/>
          <w:sz w:val="18"/>
          <w:szCs w:val="18"/>
          <w:lang w:eastAsia="en-GB"/>
          <w14:ligatures w14:val="none"/>
        </w:rPr>
        <w:t>`'secured'`</w:t>
      </w:r>
      <w:r w:rsidRPr="00CC603E">
        <w:rPr>
          <w:rFonts w:ascii="Menlo" w:eastAsia="Times New Roman" w:hAnsi="Menlo" w:cs="Menlo"/>
          <w:color w:val="CCCCCC"/>
          <w:kern w:val="0"/>
          <w:sz w:val="18"/>
          <w:szCs w:val="18"/>
          <w:lang w:eastAsia="en-GB"/>
          <w14:ligatures w14:val="none"/>
        </w:rPr>
        <w:t xml:space="preserve">. It stores the calculated </w:t>
      </w:r>
      <w:r w:rsidRPr="00CC603E">
        <w:rPr>
          <w:rFonts w:ascii="Menlo" w:eastAsia="Times New Roman" w:hAnsi="Menlo" w:cs="Menlo"/>
          <w:color w:val="CE9178"/>
          <w:kern w:val="0"/>
          <w:sz w:val="18"/>
          <w:szCs w:val="18"/>
          <w:lang w:eastAsia="en-GB"/>
          <w14:ligatures w14:val="none"/>
        </w:rPr>
        <w:t>`principal_amount`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CE9178"/>
          <w:kern w:val="0"/>
          <w:sz w:val="18"/>
          <w:szCs w:val="18"/>
          <w:lang w:eastAsia="en-GB"/>
          <w14:ligatures w14:val="none"/>
        </w:rPr>
        <w:t>`interest_rate`</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CE9178"/>
          <w:kern w:val="0"/>
          <w:sz w:val="18"/>
          <w:szCs w:val="18"/>
          <w:lang w:eastAsia="en-GB"/>
          <w14:ligatures w14:val="none"/>
        </w:rPr>
        <w:t>`amount_repayable`</w:t>
      </w:r>
      <w:r w:rsidRPr="00CC603E">
        <w:rPr>
          <w:rFonts w:ascii="Menlo" w:eastAsia="Times New Roman" w:hAnsi="Menlo" w:cs="Menlo"/>
          <w:color w:val="CCCCCC"/>
          <w:kern w:val="0"/>
          <w:sz w:val="18"/>
          <w:szCs w:val="18"/>
          <w:lang w:eastAsia="en-GB"/>
          <w14:ligatures w14:val="none"/>
        </w:rPr>
        <w:t xml:space="preserve">, and </w:t>
      </w:r>
      <w:r w:rsidRPr="00CC603E">
        <w:rPr>
          <w:rFonts w:ascii="Menlo" w:eastAsia="Times New Roman" w:hAnsi="Menlo" w:cs="Menlo"/>
          <w:color w:val="CE9178"/>
          <w:kern w:val="0"/>
          <w:sz w:val="18"/>
          <w:szCs w:val="18"/>
          <w:lang w:eastAsia="en-GB"/>
          <w14:ligatures w14:val="none"/>
        </w:rPr>
        <w:t>`first_repayment_date`</w:t>
      </w:r>
      <w:r w:rsidRPr="00CC603E">
        <w:rPr>
          <w:rFonts w:ascii="Menlo" w:eastAsia="Times New Roman" w:hAnsi="Menlo" w:cs="Menlo"/>
          <w:color w:val="CCCCCC"/>
          <w:kern w:val="0"/>
          <w:sz w:val="18"/>
          <w:szCs w:val="18"/>
          <w:lang w:eastAsia="en-GB"/>
          <w14:ligatures w14:val="none"/>
        </w:rPr>
        <w:t>.</w:t>
      </w:r>
    </w:p>
    <w:p w14:paraId="58EE5AB4"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p>
    <w:p w14:paraId="4B1AA04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2.</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**Collateral Allocation (</w:t>
      </w:r>
      <w:r w:rsidRPr="00CC603E">
        <w:rPr>
          <w:rFonts w:ascii="Menlo" w:eastAsia="Times New Roman" w:hAnsi="Menlo" w:cs="Menlo"/>
          <w:b/>
          <w:bCs/>
          <w:color w:val="CE9178"/>
          <w:kern w:val="0"/>
          <w:sz w:val="18"/>
          <w:szCs w:val="18"/>
          <w:lang w:eastAsia="en-GB"/>
          <w14:ligatures w14:val="none"/>
        </w:rPr>
        <w:t>`pbc_collateral_pledges`</w:t>
      </w:r>
      <w:r w:rsidRPr="00CC603E">
        <w:rPr>
          <w:rFonts w:ascii="Menlo" w:eastAsia="Times New Roman" w:hAnsi="Menlo" w:cs="Menlo"/>
          <w:b/>
          <w:bCs/>
          <w:color w:val="569CD6"/>
          <w:kern w:val="0"/>
          <w:sz w:val="18"/>
          <w:szCs w:val="18"/>
          <w:lang w:eastAsia="en-GB"/>
          <w14:ligatures w14:val="none"/>
        </w:rPr>
        <w:t xml:space="preserve"> table):**</w:t>
      </w:r>
    </w:p>
    <w:p w14:paraId="5783AB6B"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Users can select multiple assets simultaneously (e.g., pledging R50k across 3 different stocks). The requested principal is allocated </w:t>
      </w:r>
      <w:r w:rsidRPr="00CC603E">
        <w:rPr>
          <w:rFonts w:ascii="Menlo" w:eastAsia="Times New Roman" w:hAnsi="Menlo" w:cs="Menlo"/>
          <w:b/>
          <w:bCs/>
          <w:color w:val="569CD6"/>
          <w:kern w:val="0"/>
          <w:sz w:val="18"/>
          <w:szCs w:val="18"/>
          <w:lang w:eastAsia="en-GB"/>
          <w14:ligatures w14:val="none"/>
        </w:rPr>
        <w:t>**proportionally**</w:t>
      </w:r>
      <w:r w:rsidRPr="00CC603E">
        <w:rPr>
          <w:rFonts w:ascii="Menlo" w:eastAsia="Times New Roman" w:hAnsi="Menlo" w:cs="Menlo"/>
          <w:color w:val="CCCCCC"/>
          <w:kern w:val="0"/>
          <w:sz w:val="18"/>
          <w:szCs w:val="18"/>
          <w:lang w:eastAsia="en-GB"/>
          <w14:ligatures w14:val="none"/>
        </w:rPr>
        <w:t xml:space="preserve"> based on the balances of the selected assets.</w:t>
      </w:r>
    </w:p>
    <w:p w14:paraId="715409BA"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For each pledged stock, the system logs its </w:t>
      </w:r>
      <w:r w:rsidRPr="00CC603E">
        <w:rPr>
          <w:rFonts w:ascii="Menlo" w:eastAsia="Times New Roman" w:hAnsi="Menlo" w:cs="Menlo"/>
          <w:color w:val="CE9178"/>
          <w:kern w:val="0"/>
          <w:sz w:val="18"/>
          <w:szCs w:val="18"/>
          <w:lang w:eastAsia="en-GB"/>
          <w14:ligatures w14:val="none"/>
        </w:rPr>
        <w:t>`security_id`</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CE9178"/>
          <w:kern w:val="0"/>
          <w:sz w:val="18"/>
          <w:szCs w:val="18"/>
          <w:lang w:eastAsia="en-GB"/>
          <w14:ligatures w14:val="none"/>
        </w:rPr>
        <w:t>`pledged_quantity`</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CE9178"/>
          <w:kern w:val="0"/>
          <w:sz w:val="18"/>
          <w:szCs w:val="18"/>
          <w:lang w:eastAsia="en-GB"/>
          <w14:ligatures w14:val="none"/>
        </w:rPr>
        <w:t>`pledged_value`</w:t>
      </w:r>
      <w:r w:rsidRPr="00CC603E">
        <w:rPr>
          <w:rFonts w:ascii="Menlo" w:eastAsia="Times New Roman" w:hAnsi="Menlo" w:cs="Menlo"/>
          <w:color w:val="CCCCCC"/>
          <w:kern w:val="0"/>
          <w:sz w:val="18"/>
          <w:szCs w:val="18"/>
          <w:lang w:eastAsia="en-GB"/>
          <w14:ligatures w14:val="none"/>
        </w:rPr>
        <w:t xml:space="preserve"> (the actual market value), and </w:t>
      </w:r>
      <w:r w:rsidRPr="00CC603E">
        <w:rPr>
          <w:rFonts w:ascii="Menlo" w:eastAsia="Times New Roman" w:hAnsi="Menlo" w:cs="Menlo"/>
          <w:color w:val="CE9178"/>
          <w:kern w:val="0"/>
          <w:sz w:val="18"/>
          <w:szCs w:val="18"/>
          <w:lang w:eastAsia="en-GB"/>
          <w14:ligatures w14:val="none"/>
        </w:rPr>
        <w:t>`recognised_value`</w:t>
      </w:r>
      <w:r w:rsidRPr="00CC603E">
        <w:rPr>
          <w:rFonts w:ascii="Menlo" w:eastAsia="Times New Roman" w:hAnsi="Menlo" w:cs="Menlo"/>
          <w:color w:val="CCCCCC"/>
          <w:kern w:val="0"/>
          <w:sz w:val="18"/>
          <w:szCs w:val="18"/>
          <w:lang w:eastAsia="en-GB"/>
          <w14:ligatures w14:val="none"/>
        </w:rPr>
        <w:t xml:space="preserve"> (value post-LTV).</w:t>
      </w:r>
    </w:p>
    <w:p w14:paraId="400606F4"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The </w:t>
      </w:r>
      <w:r w:rsidRPr="00CC603E">
        <w:rPr>
          <w:rFonts w:ascii="Menlo" w:eastAsia="Times New Roman" w:hAnsi="Menlo" w:cs="Menlo"/>
          <w:color w:val="CE9178"/>
          <w:kern w:val="0"/>
          <w:sz w:val="18"/>
          <w:szCs w:val="18"/>
          <w:lang w:eastAsia="en-GB"/>
          <w14:ligatures w14:val="none"/>
        </w:rPr>
        <w:t>`loan_value`</w:t>
      </w:r>
      <w:r w:rsidRPr="00CC603E">
        <w:rPr>
          <w:rFonts w:ascii="Menlo" w:eastAsia="Times New Roman" w:hAnsi="Menlo" w:cs="Menlo"/>
          <w:color w:val="CCCCCC"/>
          <w:kern w:val="0"/>
          <w:sz w:val="18"/>
          <w:szCs w:val="18"/>
          <w:lang w:eastAsia="en-GB"/>
          <w14:ligatures w14:val="none"/>
        </w:rPr>
        <w:t xml:space="preserve"> parameter determines how much of the total loan is tied to that specific stock.</w:t>
      </w:r>
    </w:p>
    <w:p w14:paraId="4245852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011D9BA"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3.</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**Transaction History (</w:t>
      </w:r>
      <w:r w:rsidRPr="00CC603E">
        <w:rPr>
          <w:rFonts w:ascii="Menlo" w:eastAsia="Times New Roman" w:hAnsi="Menlo" w:cs="Menlo"/>
          <w:b/>
          <w:bCs/>
          <w:color w:val="CE9178"/>
          <w:kern w:val="0"/>
          <w:sz w:val="18"/>
          <w:szCs w:val="18"/>
          <w:lang w:eastAsia="en-GB"/>
          <w14:ligatures w14:val="none"/>
        </w:rPr>
        <w:t>`credit_transactions_history`</w:t>
      </w:r>
      <w:r w:rsidRPr="00CC603E">
        <w:rPr>
          <w:rFonts w:ascii="Menlo" w:eastAsia="Times New Roman" w:hAnsi="Menlo" w:cs="Menlo"/>
          <w:b/>
          <w:bCs/>
          <w:color w:val="569CD6"/>
          <w:kern w:val="0"/>
          <w:sz w:val="18"/>
          <w:szCs w:val="18"/>
          <w:lang w:eastAsia="en-GB"/>
          <w14:ligatures w14:val="none"/>
        </w:rPr>
        <w:t xml:space="preserve"> table):**</w:t>
      </w:r>
    </w:p>
    <w:p w14:paraId="47DA5CA8"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   An immutable ledger entry is created marking the </w:t>
      </w:r>
      <w:r w:rsidRPr="00CC603E">
        <w:rPr>
          <w:rFonts w:ascii="Menlo" w:eastAsia="Times New Roman" w:hAnsi="Menlo" w:cs="Menlo"/>
          <w:color w:val="CE9178"/>
          <w:kern w:val="0"/>
          <w:sz w:val="18"/>
          <w:szCs w:val="18"/>
          <w:lang w:eastAsia="en-GB"/>
          <w14:ligatures w14:val="none"/>
        </w:rPr>
        <w:t>`application_created`</w:t>
      </w:r>
      <w:r w:rsidRPr="00CC603E">
        <w:rPr>
          <w:rFonts w:ascii="Menlo" w:eastAsia="Times New Roman" w:hAnsi="Menlo" w:cs="Menlo"/>
          <w:color w:val="CCCCCC"/>
          <w:kern w:val="0"/>
          <w:sz w:val="18"/>
          <w:szCs w:val="18"/>
          <w:lang w:eastAsia="en-GB"/>
          <w14:ligatures w14:val="none"/>
        </w:rPr>
        <w:t xml:space="preserve"> event, storing metadata like the loan term and expected repayment date.</w:t>
      </w:r>
    </w:p>
    <w:p w14:paraId="1F2179B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246488D"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Important Note on RLS (Row-Level Security)</w:t>
      </w:r>
    </w:p>
    <w:p w14:paraId="3D5A2D7A"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Certain vital actions—such as actually deducting the available collateral in the </w:t>
      </w:r>
      <w:r w:rsidRPr="00CC603E">
        <w:rPr>
          <w:rFonts w:ascii="Menlo" w:eastAsia="Times New Roman" w:hAnsi="Menlo" w:cs="Menlo"/>
          <w:color w:val="CE9178"/>
          <w:kern w:val="0"/>
          <w:sz w:val="18"/>
          <w:szCs w:val="18"/>
          <w:lang w:eastAsia="en-GB"/>
          <w14:ligatures w14:val="none"/>
        </w:rPr>
        <w:t>`pbc_collateral_pledges`</w:t>
      </w:r>
      <w:r w:rsidRPr="00CC603E">
        <w:rPr>
          <w:rFonts w:ascii="Menlo" w:eastAsia="Times New Roman" w:hAnsi="Menlo" w:cs="Menlo"/>
          <w:color w:val="CCCCCC"/>
          <w:kern w:val="0"/>
          <w:sz w:val="18"/>
          <w:szCs w:val="18"/>
          <w:lang w:eastAsia="en-GB"/>
          <w14:ligatures w14:val="none"/>
        </w:rPr>
        <w:t xml:space="preserve"> table and updating the user's </w:t>
      </w:r>
      <w:r w:rsidRPr="00CC603E">
        <w:rPr>
          <w:rFonts w:ascii="Menlo" w:eastAsia="Times New Roman" w:hAnsi="Menlo" w:cs="Menlo"/>
          <w:color w:val="CE9178"/>
          <w:kern w:val="0"/>
          <w:sz w:val="18"/>
          <w:szCs w:val="18"/>
          <w:lang w:eastAsia="en-GB"/>
          <w14:ligatures w14:val="none"/>
        </w:rPr>
        <w:t>`credit_accounts`</w:t>
      </w:r>
      <w:r w:rsidRPr="00CC603E">
        <w:rPr>
          <w:rFonts w:ascii="Menlo" w:eastAsia="Times New Roman" w:hAnsi="Menlo" w:cs="Menlo"/>
          <w:color w:val="CCCCCC"/>
          <w:kern w:val="0"/>
          <w:sz w:val="18"/>
          <w:szCs w:val="18"/>
          <w:lang w:eastAsia="en-GB"/>
          <w14:ligatures w14:val="none"/>
        </w:rPr>
        <w:t xml:space="preserve"> (modifying their </w:t>
      </w:r>
      <w:r w:rsidRPr="00CC603E">
        <w:rPr>
          <w:rFonts w:ascii="Menlo" w:eastAsia="Times New Roman" w:hAnsi="Menlo" w:cs="Menlo"/>
          <w:color w:val="CE9178"/>
          <w:kern w:val="0"/>
          <w:sz w:val="18"/>
          <w:szCs w:val="18"/>
          <w:lang w:eastAsia="en-GB"/>
          <w14:ligatures w14:val="none"/>
        </w:rPr>
        <w:t>`loan_balance`</w:t>
      </w:r>
      <w:r w:rsidRPr="00CC603E">
        <w:rPr>
          <w:rFonts w:ascii="Menlo" w:eastAsia="Times New Roman" w:hAnsi="Menlo" w:cs="Menlo"/>
          <w:color w:val="CCCCCC"/>
          <w:kern w:val="0"/>
          <w:sz w:val="18"/>
          <w:szCs w:val="18"/>
          <w:lang w:eastAsia="en-GB"/>
          <w14:ligatures w14:val="none"/>
        </w:rPr>
        <w:t xml:space="preserve"> and </w:t>
      </w:r>
      <w:r w:rsidRPr="00CC603E">
        <w:rPr>
          <w:rFonts w:ascii="Menlo" w:eastAsia="Times New Roman" w:hAnsi="Menlo" w:cs="Menlo"/>
          <w:color w:val="CE9178"/>
          <w:kern w:val="0"/>
          <w:sz w:val="18"/>
          <w:szCs w:val="18"/>
          <w:lang w:eastAsia="en-GB"/>
          <w14:ligatures w14:val="none"/>
        </w:rPr>
        <w:t>`available_credit`</w:t>
      </w:r>
      <w:r w:rsidRPr="00CC603E">
        <w:rPr>
          <w:rFonts w:ascii="Menlo" w:eastAsia="Times New Roman" w:hAnsi="Menlo" w:cs="Menlo"/>
          <w:color w:val="CCCCCC"/>
          <w:kern w:val="0"/>
          <w:sz w:val="18"/>
          <w:szCs w:val="18"/>
          <w:lang w:eastAsia="en-GB"/>
          <w14:ligatures w14:val="none"/>
        </w:rPr>
        <w:t xml:space="preserve">)—are highly sensitive. </w:t>
      </w:r>
    </w:p>
    <w:p w14:paraId="478F7C82"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 xml:space="preserve">Because of Supabase's RLS policies, these actions </w:t>
      </w:r>
      <w:r w:rsidRPr="00CC603E">
        <w:rPr>
          <w:rFonts w:ascii="Menlo" w:eastAsia="Times New Roman" w:hAnsi="Menlo" w:cs="Menlo"/>
          <w:b/>
          <w:bCs/>
          <w:color w:val="569CD6"/>
          <w:kern w:val="0"/>
          <w:sz w:val="18"/>
          <w:szCs w:val="18"/>
          <w:lang w:eastAsia="en-GB"/>
          <w14:ligatures w14:val="none"/>
        </w:rPr>
        <w:t>**cannot**</w:t>
      </w:r>
      <w:r w:rsidRPr="00CC603E">
        <w:rPr>
          <w:rFonts w:ascii="Menlo" w:eastAsia="Times New Roman" w:hAnsi="Menlo" w:cs="Menlo"/>
          <w:color w:val="CCCCCC"/>
          <w:kern w:val="0"/>
          <w:sz w:val="18"/>
          <w:szCs w:val="18"/>
          <w:lang w:eastAsia="en-GB"/>
          <w14:ligatures w14:val="none"/>
        </w:rPr>
        <w:t xml:space="preserve"> be directly written from the client-side UI to prevent tampering. In a production environment, the actual finalization of these values must be executed via a secure Server-Side API endpoint or a PostgreSQL RPC (Remote Procedure Call) using service role keys.</w:t>
      </w:r>
    </w:p>
    <w:p w14:paraId="66A8633D"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4F3F718"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b/>
          <w:bCs/>
          <w:color w:val="569CD6"/>
          <w:kern w:val="0"/>
          <w:sz w:val="18"/>
          <w:szCs w:val="18"/>
          <w:lang w:eastAsia="en-GB"/>
          <w14:ligatures w14:val="none"/>
        </w:rPr>
        <w:t>## 4. UI/UX Flow</w:t>
      </w:r>
    </w:p>
    <w:p w14:paraId="7E5B4F0C"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The user experience is divided into distinct, stateful views (</w:t>
      </w:r>
      <w:r w:rsidRPr="00CC603E">
        <w:rPr>
          <w:rFonts w:ascii="Menlo" w:eastAsia="Times New Roman" w:hAnsi="Menlo" w:cs="Menlo"/>
          <w:color w:val="CE9178"/>
          <w:kern w:val="0"/>
          <w:sz w:val="18"/>
          <w:szCs w:val="18"/>
          <w:lang w:eastAsia="en-GB"/>
          <w14:ligatures w14:val="none"/>
        </w:rPr>
        <w:t>`InstantLiquidity.jsx`</w:t>
      </w:r>
      <w:r w:rsidRPr="00CC603E">
        <w:rPr>
          <w:rFonts w:ascii="Menlo" w:eastAsia="Times New Roman" w:hAnsi="Menlo" w:cs="Menlo"/>
          <w:color w:val="CCCCCC"/>
          <w:kern w:val="0"/>
          <w:sz w:val="18"/>
          <w:szCs w:val="18"/>
          <w:lang w:eastAsia="en-GB"/>
          <w14:ligatures w14:val="none"/>
        </w:rPr>
        <w:t xml:space="preserve"> acts as the router):</w:t>
      </w:r>
    </w:p>
    <w:p w14:paraId="0FF47ED1"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lastRenderedPageBreak/>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**Main Dashboard:**</w:t>
      </w:r>
      <w:r w:rsidRPr="00CC603E">
        <w:rPr>
          <w:rFonts w:ascii="Menlo" w:eastAsia="Times New Roman" w:hAnsi="Menlo" w:cs="Menlo"/>
          <w:color w:val="CCCCCC"/>
          <w:kern w:val="0"/>
          <w:sz w:val="18"/>
          <w:szCs w:val="18"/>
          <w:lang w:eastAsia="en-GB"/>
          <w14:ligatures w14:val="none"/>
        </w:rPr>
        <w:t xml:space="preserve"> Displays total borrowing power, active loan snippets, and a list of eligible assets with search/filter capabilities (Mega Filters by Sector, Balance, Market Cap).</w:t>
      </w:r>
    </w:p>
    <w:p w14:paraId="31B1CA5B"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**Portfolio View:**</w:t>
      </w:r>
      <w:r w:rsidRPr="00CC603E">
        <w:rPr>
          <w:rFonts w:ascii="Menlo" w:eastAsia="Times New Roman" w:hAnsi="Menlo" w:cs="Menlo"/>
          <w:color w:val="CCCCCC"/>
          <w:kern w:val="0"/>
          <w:sz w:val="18"/>
          <w:szCs w:val="18"/>
          <w:lang w:eastAsia="en-GB"/>
          <w14:ligatures w14:val="none"/>
        </w:rPr>
        <w:t xml:space="preserve"> Gives a granular view of the user's holdings.</w:t>
      </w:r>
    </w:p>
    <w:p w14:paraId="0CACC1E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**Active View:**</w:t>
      </w:r>
      <w:r w:rsidRPr="00CC603E">
        <w:rPr>
          <w:rFonts w:ascii="Menlo" w:eastAsia="Times New Roman" w:hAnsi="Menlo" w:cs="Menlo"/>
          <w:color w:val="CCCCCC"/>
          <w:kern w:val="0"/>
          <w:sz w:val="18"/>
          <w:szCs w:val="18"/>
          <w:lang w:eastAsia="en-GB"/>
          <w14:ligatures w14:val="none"/>
        </w:rPr>
        <w:t xml:space="preserve"> Manages current outstanding secured loans.</w:t>
      </w:r>
    </w:p>
    <w:p w14:paraId="5A97814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**Repay View:**</w:t>
      </w:r>
      <w:r w:rsidRPr="00CC603E">
        <w:rPr>
          <w:rFonts w:ascii="Menlo" w:eastAsia="Times New Roman" w:hAnsi="Menlo" w:cs="Menlo"/>
          <w:color w:val="CCCCCC"/>
          <w:kern w:val="0"/>
          <w:sz w:val="18"/>
          <w:szCs w:val="18"/>
          <w:lang w:eastAsia="en-GB"/>
          <w14:ligatures w14:val="none"/>
        </w:rPr>
        <w:t xml:space="preserve"> Interface for manual capital repayments or settling the loan.</w:t>
      </w:r>
    </w:p>
    <w:p w14:paraId="014749C7"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6796E6"/>
          <w:kern w:val="0"/>
          <w:sz w:val="18"/>
          <w:szCs w:val="18"/>
          <w:lang w:eastAsia="en-GB"/>
          <w14:ligatures w14:val="none"/>
        </w:rPr>
        <w:t>-</w:t>
      </w:r>
      <w:r w:rsidRPr="00CC603E">
        <w:rPr>
          <w:rFonts w:ascii="Menlo" w:eastAsia="Times New Roman" w:hAnsi="Menlo" w:cs="Menlo"/>
          <w:color w:val="CCCCCC"/>
          <w:kern w:val="0"/>
          <w:sz w:val="18"/>
          <w:szCs w:val="18"/>
          <w:lang w:eastAsia="en-GB"/>
          <w14:ligatures w14:val="none"/>
        </w:rPr>
        <w:t xml:space="preserve"> </w:t>
      </w:r>
      <w:r w:rsidRPr="00CC603E">
        <w:rPr>
          <w:rFonts w:ascii="Menlo" w:eastAsia="Times New Roman" w:hAnsi="Menlo" w:cs="Menlo"/>
          <w:b/>
          <w:bCs/>
          <w:color w:val="569CD6"/>
          <w:kern w:val="0"/>
          <w:sz w:val="18"/>
          <w:szCs w:val="18"/>
          <w:lang w:eastAsia="en-GB"/>
          <w14:ligatures w14:val="none"/>
        </w:rPr>
        <w:t>**History View:**</w:t>
      </w:r>
      <w:r w:rsidRPr="00CC603E">
        <w:rPr>
          <w:rFonts w:ascii="Menlo" w:eastAsia="Times New Roman" w:hAnsi="Menlo" w:cs="Menlo"/>
          <w:color w:val="CCCCCC"/>
          <w:kern w:val="0"/>
          <w:sz w:val="18"/>
          <w:szCs w:val="18"/>
          <w:lang w:eastAsia="en-GB"/>
          <w14:ligatures w14:val="none"/>
        </w:rPr>
        <w:t xml:space="preserve"> Ledger of past liquidity actions.</w:t>
      </w:r>
    </w:p>
    <w:p w14:paraId="26E607A0"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61BF3EAB"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603E">
        <w:rPr>
          <w:rFonts w:ascii="Menlo" w:eastAsia="Times New Roman" w:hAnsi="Menlo" w:cs="Menlo"/>
          <w:color w:val="CCCCCC"/>
          <w:kern w:val="0"/>
          <w:sz w:val="18"/>
          <w:szCs w:val="18"/>
          <w:lang w:eastAsia="en-GB"/>
          <w14:ligatures w14:val="none"/>
        </w:rPr>
        <w:t>By combining stringent algorithmic safety checks (NCA caps, 4-Day rule) with real-time portfolio risk assessments (LTV, Margin Calls), the Secured Credit system protects both the platform's liquidity and the user's financial stability.</w:t>
      </w:r>
    </w:p>
    <w:p w14:paraId="00D41EA6" w14:textId="77777777" w:rsidR="00CC603E" w:rsidRPr="00CC603E" w:rsidRDefault="00CC603E" w:rsidP="00CC603E">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01159FBE" w14:textId="64A86D1E" w:rsidR="009D774D" w:rsidRPr="00CC603E" w:rsidRDefault="009D774D">
      <w:pPr>
        <w:rPr>
          <w:lang w:val="en-US"/>
        </w:rPr>
      </w:pPr>
    </w:p>
    <w:sectPr w:rsidR="009D774D" w:rsidRPr="00CC6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3E"/>
    <w:rsid w:val="00172059"/>
    <w:rsid w:val="003A799B"/>
    <w:rsid w:val="00444F1B"/>
    <w:rsid w:val="009D774D"/>
    <w:rsid w:val="00CC60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B97DF7D"/>
  <w15:chartTrackingRefBased/>
  <w15:docId w15:val="{C0148D28-379A-CB4C-8A0A-7F3B7232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03E"/>
    <w:rPr>
      <w:rFonts w:eastAsiaTheme="majorEastAsia" w:cstheme="majorBidi"/>
      <w:color w:val="272727" w:themeColor="text1" w:themeTint="D8"/>
    </w:rPr>
  </w:style>
  <w:style w:type="paragraph" w:styleId="Title">
    <w:name w:val="Title"/>
    <w:basedOn w:val="Normal"/>
    <w:next w:val="Normal"/>
    <w:link w:val="TitleChar"/>
    <w:uiPriority w:val="10"/>
    <w:qFormat/>
    <w:rsid w:val="00CC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03E"/>
    <w:pPr>
      <w:spacing w:before="160"/>
      <w:jc w:val="center"/>
    </w:pPr>
    <w:rPr>
      <w:i/>
      <w:iCs/>
      <w:color w:val="404040" w:themeColor="text1" w:themeTint="BF"/>
    </w:rPr>
  </w:style>
  <w:style w:type="character" w:customStyle="1" w:styleId="QuoteChar">
    <w:name w:val="Quote Char"/>
    <w:basedOn w:val="DefaultParagraphFont"/>
    <w:link w:val="Quote"/>
    <w:uiPriority w:val="29"/>
    <w:rsid w:val="00CC603E"/>
    <w:rPr>
      <w:i/>
      <w:iCs/>
      <w:color w:val="404040" w:themeColor="text1" w:themeTint="BF"/>
    </w:rPr>
  </w:style>
  <w:style w:type="paragraph" w:styleId="ListParagraph">
    <w:name w:val="List Paragraph"/>
    <w:basedOn w:val="Normal"/>
    <w:uiPriority w:val="34"/>
    <w:qFormat/>
    <w:rsid w:val="00CC603E"/>
    <w:pPr>
      <w:ind w:left="720"/>
      <w:contextualSpacing/>
    </w:pPr>
  </w:style>
  <w:style w:type="character" w:styleId="IntenseEmphasis">
    <w:name w:val="Intense Emphasis"/>
    <w:basedOn w:val="DefaultParagraphFont"/>
    <w:uiPriority w:val="21"/>
    <w:qFormat/>
    <w:rsid w:val="00CC603E"/>
    <w:rPr>
      <w:i/>
      <w:iCs/>
      <w:color w:val="0F4761" w:themeColor="accent1" w:themeShade="BF"/>
    </w:rPr>
  </w:style>
  <w:style w:type="paragraph" w:styleId="IntenseQuote">
    <w:name w:val="Intense Quote"/>
    <w:basedOn w:val="Normal"/>
    <w:next w:val="Normal"/>
    <w:link w:val="IntenseQuoteChar"/>
    <w:uiPriority w:val="30"/>
    <w:qFormat/>
    <w:rsid w:val="00CC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03E"/>
    <w:rPr>
      <w:i/>
      <w:iCs/>
      <w:color w:val="0F4761" w:themeColor="accent1" w:themeShade="BF"/>
    </w:rPr>
  </w:style>
  <w:style w:type="character" w:styleId="IntenseReference">
    <w:name w:val="Intense Reference"/>
    <w:basedOn w:val="DefaultParagraphFont"/>
    <w:uiPriority w:val="32"/>
    <w:qFormat/>
    <w:rsid w:val="00CC6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Mufaro Ncube</dc:creator>
  <cp:keywords/>
  <dc:description/>
  <cp:lastModifiedBy>Mufaro Ncube</cp:lastModifiedBy>
  <cp:revision>1</cp:revision>
  <dcterms:created xsi:type="dcterms:W3CDTF">2026-05-11T20:20:00Z</dcterms:created>
  <dcterms:modified xsi:type="dcterms:W3CDTF">2026-05-11T20:21:00Z</dcterms:modified>
</cp:coreProperties>
</file>