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777ff37e78b46c9" /></Relationships>
</file>

<file path=word/document.xml><?xml version="1.0" encoding="utf-8"?>
<w:document xmlns:w="http://schemas.openxmlformats.org/wordprocessingml/2006/main">
  <w:body>
    <w:p>
      <w:r>
        <w:rPr>
          <w:b/>
          <w:sz w:val="32"/>
        </w:rPr>
        <w:t xml:space="preserve">Service Excellence Pilot: Teams Meeting Transcript</w:t>
      </w:r>
    </w:p>
    <w:p>
      <w:r>
        <w:rPr>
          <w:i/>
          <w:sz w:val="22"/>
        </w:rPr>
        <w:t xml:space="preserve">Synthetic training data. Contains no patient data, no real customer data, and no confidential Topcon content.</w:t>
      </w:r>
    </w:p>
    <w:p>
      <w:r>
        <w:rPr>
          <w:sz w:val="22"/>
        </w:rPr>
        <w:t xml:space="preserve">Black Belt Consulting × AO Finland — Agentic Software Development Training, Day 1</w:t>
      </w:r>
    </w:p>
    <w:p/>
    <w:p>
      <w:r>
        <w:rPr>
          <w:b/>
          <w:sz w:val="24"/>
        </w:rPr>
        <w:t xml:space="preserve">Meeting details</w:t>
      </w:r>
    </w:p>
    <w:p>
      <w:r>
        <w:rPr>
          <w:sz w:val="22"/>
        </w:rPr>
        <w:t xml:space="preserve">Meeting: Service Excellence Pilot alignment</w:t>
      </w:r>
    </w:p>
    <w:p>
      <w:r>
        <w:rPr>
          <w:sz w:val="22"/>
        </w:rPr>
        <w:t xml:space="preserve">Date: 10 June 2026</w:t>
      </w:r>
    </w:p>
    <w:p>
      <w:r>
        <w:rPr>
          <w:sz w:val="22"/>
        </w:rPr>
        <w:t xml:space="preserve">Duration: 60 minutes</w:t>
      </w:r>
    </w:p>
    <w:p>
      <w:r>
        <w:rPr>
          <w:sz w:val="22"/>
        </w:rPr>
        <w:t xml:space="preserve">Participants: Mika Lehtonen, Sofia Niemi, Ravi Patel, Laura Chen, Elena García</w:t>
      </w:r>
    </w:p>
    <w:p>
      <w:r>
        <w:rPr>
          <w:sz w:val="22"/>
        </w:rPr>
        <w:t xml:space="preserve">Purpose: Confirm pilot scope, success metrics, documentation needs, risks, and next actions</w:t>
      </w:r>
    </w:p>
    <w:p/>
    <w:p>
      <w:r>
        <w:rPr>
          <w:b/>
          <w:sz w:val="24"/>
        </w:rPr>
        <w:t xml:space="preserve">Transcript</w:t>
      </w:r>
    </w:p>
    <w:tbl>
      <w:tblPr>
        <w:tblBorders>
          <w:top w:val="single" w:sz="4"/>
          <w:bottom w:val="single" w:sz="4"/>
          <w:left w:val="single" w:sz="4"/>
          <w:right w:val="single" w:sz="4"/>
          <w:insideH w:val="single" w:sz="4"/>
          <w:insideV w:val="single" w:sz="4"/>
        </w:tblBorders>
      </w:tblPr>
      <w:tr>
        <w:tc>
          <w:p>
            <w:r>
              <w:rPr>
                <w:b/>
                <w:sz w:val="22"/>
              </w:rPr>
              <w:t xml:space="preserve">Time</w:t>
            </w:r>
          </w:p>
          <w:tcPr>
            <w:tcW w:type="auto"/>
          </w:tcPr>
        </w:tc>
        <w:tc>
          <w:p>
            <w:r>
              <w:rPr>
                <w:b/>
                <w:sz w:val="22"/>
              </w:rPr>
              <w:t xml:space="preserve">Speaker</w:t>
            </w:r>
          </w:p>
          <w:tcPr>
            <w:tcW w:type="auto"/>
          </w:tcPr>
        </w:tc>
        <w:tc>
          <w:p>
            <w:r>
              <w:rPr>
                <w:b/>
                <w:sz w:val="22"/>
              </w:rPr>
              <w:t xml:space="preserve">Transcript text</w:t>
            </w:r>
          </w:p>
          <w:tcPr>
            <w:tcW w:type="auto"/>
          </w:tcPr>
        </w:tc>
      </w:tr>
      <w:tr>
        <w:tc>
          <w:p>
            <w:r>
              <w:rPr>
                <w:sz w:val="22"/>
              </w:rPr>
              <w:t xml:space="preserve">09:00</w:t>
            </w:r>
          </w:p>
          <w:tcPr>
            <w:tcW w:type="auto"/>
          </w:tcPr>
        </w:tc>
        <w:tc>
          <w:p>
            <w:r>
              <w:rPr>
                <w:sz w:val="22"/>
              </w:rPr>
              <w:t xml:space="preserve">Mika Lehtonen</w:t>
            </w:r>
          </w:p>
          <w:tcPr>
            <w:tcW w:type="auto"/>
          </w:tcPr>
        </w:tc>
        <w:tc>
          <w:p>
            <w:r>
              <w:rPr>
                <w:sz w:val="22"/>
              </w:rPr>
              <w:t xml:space="preserve">Good morning. The purpose today is to confirm the Service Excellence Pilot scope, agree what we will show in the July steering review, and identify anything that could block the pilot. This is not a technical design meeting. It is a practical alignment meeting, which means we should leave with fewer open questions than we arrived with. A bold ambition, I know.</w:t>
            </w:r>
          </w:p>
          <w:tcPr>
            <w:tcW w:type="auto"/>
          </w:tcPr>
        </w:tc>
      </w:tr>
      <w:tr>
        <w:tc>
          <w:p>
            <w:r>
              <w:rPr>
                <w:sz w:val="22"/>
              </w:rPr>
              <w:t xml:space="preserve">09:02</w:t>
            </w:r>
          </w:p>
          <w:tcPr>
            <w:tcW w:type="auto"/>
          </w:tcPr>
        </w:tc>
        <w:tc>
          <w:p>
            <w:r>
              <w:rPr>
                <w:sz w:val="22"/>
              </w:rPr>
              <w:t xml:space="preserve">Sofia Niemi</w:t>
            </w:r>
          </w:p>
          <w:tcPr>
            <w:tcW w:type="auto"/>
          </w:tcPr>
        </w:tc>
        <w:tc>
          <w:p>
            <w:r>
              <w:rPr>
                <w:sz w:val="22"/>
              </w:rPr>
              <w:t xml:space="preserve">From service operations, the pilot should focus on remote triage quality and handover consistency. The current issue is that the initial service note varies too much by region. Some notes are excellent; some are basically 'device unhappy, please advise'. That makes downstream work slower.</w:t>
            </w:r>
          </w:p>
          <w:tcPr>
            <w:tcW w:type="auto"/>
          </w:tcPr>
        </w:tc>
      </w:tr>
      <w:tr>
        <w:tc>
          <w:p>
            <w:r>
              <w:rPr>
                <w:sz w:val="22"/>
              </w:rPr>
              <w:t xml:space="preserve">09:05</w:t>
            </w:r>
          </w:p>
          <w:tcPr>
            <w:tcW w:type="auto"/>
          </w:tcPr>
        </w:tc>
        <w:tc>
          <w:p>
            <w:r>
              <w:rPr>
                <w:sz w:val="22"/>
              </w:rPr>
              <w:t xml:space="preserve">Ravi Patel</w:t>
            </w:r>
          </w:p>
          <w:tcPr>
            <w:tcW w:type="auto"/>
          </w:tcPr>
        </w:tc>
        <w:tc>
          <w:p>
            <w:r>
              <w:rPr>
                <w:sz w:val="22"/>
              </w:rPr>
              <w:t xml:space="preserve">From product support, I agree. We need a simple categorization model for incoming service cases: installation issue, calibration issue, connectivity issue, image quality concern, recurring hardware fault, and documentation request. The point is to route the work faster, not create a taxonomy museum.</w:t>
            </w:r>
          </w:p>
          <w:tcPr>
            <w:tcW w:type="auto"/>
          </w:tcPr>
        </w:tc>
      </w:tr>
      <w:tr>
        <w:tc>
          <w:p>
            <w:r>
              <w:rPr>
                <w:sz w:val="22"/>
              </w:rPr>
              <w:t xml:space="preserve">09:09</w:t>
            </w:r>
          </w:p>
          <w:tcPr>
            <w:tcW w:type="auto"/>
          </w:tcPr>
        </w:tc>
        <w:tc>
          <w:p>
            <w:r>
              <w:rPr>
                <w:sz w:val="22"/>
              </w:rPr>
              <w:t xml:space="preserve">Laura Chen</w:t>
            </w:r>
          </w:p>
          <w:tcPr>
            <w:tcW w:type="auto"/>
          </w:tcPr>
        </w:tc>
        <w:tc>
          <w:p>
            <w:r>
              <w:rPr>
                <w:sz w:val="22"/>
              </w:rPr>
              <w:t xml:space="preserve">Documentation can support this, but we need a clear source of truth. There are process notes in Teams, SharePoint, and a few PDFs attached to old emails. If Copilot or an agent is going to help, we need one approved process guide. Otherwise we are teaching the tool to confidently summarize archaeology.</w:t>
            </w:r>
          </w:p>
          <w:tcPr>
            <w:tcW w:type="auto"/>
          </w:tcPr>
        </w:tc>
      </w:tr>
      <w:tr>
        <w:tc>
          <w:p>
            <w:r>
              <w:rPr>
                <w:sz w:val="22"/>
              </w:rPr>
              <w:t xml:space="preserve">09:13</w:t>
            </w:r>
          </w:p>
          <w:tcPr>
            <w:tcW w:type="auto"/>
          </w:tcPr>
        </w:tc>
        <w:tc>
          <w:p>
            <w:r>
              <w:rPr>
                <w:sz w:val="22"/>
              </w:rPr>
              <w:t xml:space="preserve">Elena García</w:t>
            </w:r>
          </w:p>
          <w:tcPr>
            <w:tcW w:type="auto"/>
          </w:tcPr>
        </w:tc>
        <w:tc>
          <w:p>
            <w:r>
              <w:rPr>
                <w:sz w:val="22"/>
              </w:rPr>
              <w:t xml:space="preserve">Quality and compliance view: the pilot must not include patient-identifying data. Service notes used for analysis must be synthetic, anonymized, or operational only. We can include device model, region, severity, and service category, but not patient names, appointment details, or clinical interpretation.</w:t>
            </w:r>
          </w:p>
          <w:tcPr>
            <w:tcW w:type="auto"/>
          </w:tcPr>
        </w:tc>
      </w:tr>
      <w:tr>
        <w:tc>
          <w:p>
            <w:r>
              <w:rPr>
                <w:sz w:val="22"/>
              </w:rPr>
              <w:t xml:space="preserve">09:17</w:t>
            </w:r>
          </w:p>
          <w:tcPr>
            <w:tcW w:type="auto"/>
          </w:tcPr>
        </w:tc>
        <w:tc>
          <w:p>
            <w:r>
              <w:rPr>
                <w:sz w:val="22"/>
              </w:rPr>
              <w:t xml:space="preserve">Mika Lehtonen</w:t>
            </w:r>
          </w:p>
          <w:tcPr>
            <w:tcW w:type="auto"/>
          </w:tcPr>
        </w:tc>
        <w:tc>
          <w:p>
            <w:r>
              <w:rPr>
                <w:sz w:val="22"/>
              </w:rPr>
              <w:t xml:space="preserve">Decision one: the July pilot scope is remote triage and service-note quality for diagnostic equipment support. We will not include automated customer replies in this first phase.</w:t>
            </w:r>
          </w:p>
          <w:tcPr>
            <w:tcW w:type="auto"/>
          </w:tcPr>
        </w:tc>
      </w:tr>
      <w:tr>
        <w:tc>
          <w:p>
            <w:r>
              <w:rPr>
                <w:sz w:val="22"/>
              </w:rPr>
              <w:t xml:space="preserve">09:19</w:t>
            </w:r>
          </w:p>
          <w:tcPr>
            <w:tcW w:type="auto"/>
          </w:tcPr>
        </w:tc>
        <w:tc>
          <w:p>
            <w:r>
              <w:rPr>
                <w:sz w:val="22"/>
              </w:rPr>
              <w:t xml:space="preserve">Sofia Niemi</w:t>
            </w:r>
          </w:p>
          <w:tcPr>
            <w:tcW w:type="auto"/>
          </w:tcPr>
        </w:tc>
        <w:tc>
          <w:p>
            <w:r>
              <w:rPr>
                <w:sz w:val="22"/>
              </w:rPr>
              <w:t xml:space="preserve">For success metrics, can we track first-response completeness, escalation accuracy, and time to assign the right queue? I do not want to promise resolution-time improvements yet because too many variables are outside this pilot.</w:t>
            </w:r>
          </w:p>
          <w:tcPr>
            <w:tcW w:type="auto"/>
          </w:tcPr>
        </w:tc>
      </w:tr>
      <w:tr>
        <w:tc>
          <w:p>
            <w:r>
              <w:rPr>
                <w:sz w:val="22"/>
              </w:rPr>
              <w:t xml:space="preserve">09:22</w:t>
            </w:r>
          </w:p>
          <w:tcPr>
            <w:tcW w:type="auto"/>
          </w:tcPr>
        </w:tc>
        <w:tc>
          <w:p>
            <w:r>
              <w:rPr>
                <w:sz w:val="22"/>
              </w:rPr>
              <w:t xml:space="preserve">Ravi Patel</w:t>
            </w:r>
          </w:p>
          <w:tcPr>
            <w:tcW w:type="auto"/>
          </w:tcPr>
        </w:tc>
        <w:tc>
          <w:p>
            <w:r>
              <w:rPr>
                <w:sz w:val="22"/>
              </w:rPr>
              <w:t xml:space="preserve">Agreed. I can prepare twelve synthetic cases across the six categories. The cases should include messy notes, not perfect textbook examples. If everything is clean, the demo proves only that demos are clean.</w:t>
            </w:r>
          </w:p>
          <w:tcPr>
            <w:tcW w:type="auto"/>
          </w:tcPr>
        </w:tc>
      </w:tr>
      <w:tr>
        <w:tc>
          <w:p>
            <w:r>
              <w:rPr>
                <w:sz w:val="22"/>
              </w:rPr>
              <w:t xml:space="preserve">09:25</w:t>
            </w:r>
          </w:p>
          <w:tcPr>
            <w:tcW w:type="auto"/>
          </w:tcPr>
        </w:tc>
        <w:tc>
          <w:p>
            <w:r>
              <w:rPr>
                <w:sz w:val="22"/>
              </w:rPr>
              <w:t xml:space="preserve">Laura Chen</w:t>
            </w:r>
          </w:p>
          <w:tcPr>
            <w:tcW w:type="auto"/>
          </w:tcPr>
        </w:tc>
        <w:tc>
          <w:p>
            <w:r>
              <w:rPr>
                <w:sz w:val="22"/>
              </w:rPr>
              <w:t xml:space="preserve">I will create the first draft of the process guide by 17 June. It will include escalation criteria, required note fields, what not to include, and where to send unresolved questions. I need Sofia to confirm the required fields by 13 June.</w:t>
            </w:r>
          </w:p>
          <w:tcPr>
            <w:tcW w:type="auto"/>
          </w:tcPr>
        </w:tc>
      </w:tr>
      <w:tr>
        <w:tc>
          <w:p>
            <w:r>
              <w:rPr>
                <w:sz w:val="22"/>
              </w:rPr>
              <w:t xml:space="preserve">09:28</w:t>
            </w:r>
          </w:p>
          <w:tcPr>
            <w:tcW w:type="auto"/>
          </w:tcPr>
        </w:tc>
        <w:tc>
          <w:p>
            <w:r>
              <w:rPr>
                <w:sz w:val="22"/>
              </w:rPr>
              <w:t xml:space="preserve">Elena García</w:t>
            </w:r>
          </w:p>
          <w:tcPr>
            <w:tcW w:type="auto"/>
          </w:tcPr>
        </w:tc>
        <w:tc>
          <w:p>
            <w:r>
              <w:rPr>
                <w:sz w:val="22"/>
              </w:rPr>
              <w:t xml:space="preserve">Please add a safety section. The guidance should say that the pilot assistant or agent can summarize process rules, but must not provide medical advice, interpret clinical images, or decide warranty obligations. It should redirect those questions.</w:t>
            </w:r>
          </w:p>
          <w:tcPr>
            <w:tcW w:type="auto"/>
          </w:tcPr>
        </w:tc>
      </w:tr>
      <w:tr>
        <w:tc>
          <w:p>
            <w:r>
              <w:rPr>
                <w:sz w:val="22"/>
              </w:rPr>
              <w:t xml:space="preserve">09:32</w:t>
            </w:r>
          </w:p>
          <w:tcPr>
            <w:tcW w:type="auto"/>
          </w:tcPr>
        </w:tc>
        <w:tc>
          <w:p>
            <w:r>
              <w:rPr>
                <w:sz w:val="22"/>
              </w:rPr>
              <w:t xml:space="preserve">Mika Lehtonen</w:t>
            </w:r>
          </w:p>
          <w:tcPr>
            <w:tcW w:type="auto"/>
          </w:tcPr>
        </w:tc>
        <w:tc>
          <w:p>
            <w:r>
              <w:rPr>
                <w:sz w:val="22"/>
              </w:rPr>
              <w:t xml:space="preserve">Decision two: the pilot guide must include guardrails and refusal examples. We want people to see that 'I cannot answer that from the guide' is correct behavior, not a broken bot.</w:t>
            </w:r>
          </w:p>
          <w:tcPr>
            <w:tcW w:type="auto"/>
          </w:tcPr>
        </w:tc>
      </w:tr>
      <w:tr>
        <w:tc>
          <w:p>
            <w:r>
              <w:rPr>
                <w:sz w:val="22"/>
              </w:rPr>
              <w:t xml:space="preserve">09:35</w:t>
            </w:r>
          </w:p>
          <w:tcPr>
            <w:tcW w:type="auto"/>
          </w:tcPr>
        </w:tc>
        <w:tc>
          <w:p>
            <w:r>
              <w:rPr>
                <w:sz w:val="22"/>
              </w:rPr>
              <w:t xml:space="preserve">Sofia Niemi</w:t>
            </w:r>
          </w:p>
          <w:tcPr>
            <w:tcW w:type="auto"/>
          </w:tcPr>
        </w:tc>
        <w:tc>
          <w:p>
            <w:r>
              <w:rPr>
                <w:sz w:val="22"/>
              </w:rPr>
              <w:t xml:space="preserve">Risk: regional terminology differs. The same issue might be called connectivity, integration, network, or hospital IT depending on who writes the note. We need examples in the guide so the agent does not overfit to one vocabulary.</w:t>
            </w:r>
          </w:p>
          <w:tcPr>
            <w:tcW w:type="auto"/>
          </w:tcPr>
        </w:tc>
      </w:tr>
      <w:tr>
        <w:tc>
          <w:p>
            <w:r>
              <w:rPr>
                <w:sz w:val="22"/>
              </w:rPr>
              <w:t xml:space="preserve">09:39</w:t>
            </w:r>
          </w:p>
          <w:tcPr>
            <w:tcW w:type="auto"/>
          </w:tcPr>
        </w:tc>
        <w:tc>
          <w:p>
            <w:r>
              <w:rPr>
                <w:sz w:val="22"/>
              </w:rPr>
              <w:t xml:space="preserve">Ravi Patel</w:t>
            </w:r>
          </w:p>
          <w:tcPr>
            <w:tcW w:type="auto"/>
          </w:tcPr>
        </w:tc>
        <w:tc>
          <w:p>
            <w:r>
              <w:rPr>
                <w:sz w:val="22"/>
              </w:rPr>
              <w:t xml:space="preserve">Another risk: people may paste real service cases into the demo environment. We need an explicit instruction at the start of training: use only the provided synthetic examples. No customer names, no patient data, no screenshots from live systems.</w:t>
            </w:r>
          </w:p>
          <w:tcPr>
            <w:tcW w:type="auto"/>
          </w:tcPr>
        </w:tc>
      </w:tr>
      <w:tr>
        <w:tc>
          <w:p>
            <w:r>
              <w:rPr>
                <w:sz w:val="22"/>
              </w:rPr>
              <w:t xml:space="preserve">09:42</w:t>
            </w:r>
          </w:p>
          <w:tcPr>
            <w:tcW w:type="auto"/>
          </w:tcPr>
        </w:tc>
        <w:tc>
          <w:p>
            <w:r>
              <w:rPr>
                <w:sz w:val="22"/>
              </w:rPr>
              <w:t xml:space="preserve">Laura Chen</w:t>
            </w:r>
          </w:p>
          <w:tcPr>
            <w:tcW w:type="auto"/>
          </w:tcPr>
        </w:tc>
        <w:tc>
          <w:p>
            <w:r>
              <w:rPr>
                <w:sz w:val="22"/>
              </w:rPr>
              <w:t xml:space="preserve">Open question: where do we keep the approved guide for the actual pilot? For this training we can upload a local file, but in production it should live in a governed location with ownership and versioning.</w:t>
            </w:r>
          </w:p>
          <w:tcPr>
            <w:tcW w:type="auto"/>
          </w:tcPr>
        </w:tc>
      </w:tr>
      <w:tr>
        <w:tc>
          <w:p>
            <w:r>
              <w:rPr>
                <w:sz w:val="22"/>
              </w:rPr>
              <w:t xml:space="preserve">09:45</w:t>
            </w:r>
          </w:p>
          <w:tcPr>
            <w:tcW w:type="auto"/>
          </w:tcPr>
        </w:tc>
        <w:tc>
          <w:p>
            <w:r>
              <w:rPr>
                <w:sz w:val="22"/>
              </w:rPr>
              <w:t xml:space="preserve">Elena García</w:t>
            </w:r>
          </w:p>
          <w:tcPr>
            <w:tcW w:type="auto"/>
          </w:tcPr>
        </w:tc>
        <w:tc>
          <w:p>
            <w:r>
              <w:rPr>
                <w:sz w:val="22"/>
              </w:rPr>
              <w:t xml:space="preserve">Decision three: for the training demo, local synthetic files are fine. For production, the guide must have an owner, review date, and approved storage location. We do not decide the production repository today.</w:t>
            </w:r>
          </w:p>
          <w:tcPr>
            <w:tcW w:type="auto"/>
          </w:tcPr>
        </w:tc>
      </w:tr>
      <w:tr>
        <w:tc>
          <w:p>
            <w:r>
              <w:rPr>
                <w:sz w:val="22"/>
              </w:rPr>
              <w:t xml:space="preserve">09:48</w:t>
            </w:r>
          </w:p>
          <w:tcPr>
            <w:tcW w:type="auto"/>
          </w:tcPr>
        </w:tc>
        <w:tc>
          <w:p>
            <w:r>
              <w:rPr>
                <w:sz w:val="22"/>
              </w:rPr>
              <w:t xml:space="preserve">Mika Lehtonen</w:t>
            </w:r>
          </w:p>
          <w:tcPr>
            <w:tcW w:type="auto"/>
          </w:tcPr>
        </w:tc>
        <w:tc>
          <w:p>
            <w:r>
              <w:rPr>
                <w:sz w:val="22"/>
              </w:rPr>
              <w:t xml:space="preserve">Action recap: Sofia confirms required note fields by 13 June. Laura drafts the guide by 17 June. Ravi prepares synthetic cases by 18 June. Elena reviews guardrails by 20 June. I will package the steering summary by 24 June.</w:t>
            </w:r>
          </w:p>
          <w:tcPr>
            <w:tcW w:type="auto"/>
          </w:tcPr>
        </w:tc>
      </w:tr>
      <w:tr>
        <w:tc>
          <w:p>
            <w:r>
              <w:rPr>
                <w:sz w:val="22"/>
              </w:rPr>
              <w:t xml:space="preserve">09:51</w:t>
            </w:r>
          </w:p>
          <w:tcPr>
            <w:tcW w:type="auto"/>
          </w:tcPr>
        </w:tc>
        <w:tc>
          <w:p>
            <w:r>
              <w:rPr>
                <w:sz w:val="22"/>
              </w:rPr>
              <w:t xml:space="preserve">Sofia Niemi</w:t>
            </w:r>
          </w:p>
          <w:tcPr>
            <w:tcW w:type="auto"/>
          </w:tcPr>
        </w:tc>
        <w:tc>
          <w:p>
            <w:r>
              <w:rPr>
                <w:sz w:val="22"/>
              </w:rPr>
              <w:t xml:space="preserve">One dependency: we need confirmation that Copilot Studio access is available for the technical track. If not, we can still teach the concept, but the hands-on build changes.</w:t>
            </w:r>
          </w:p>
          <w:tcPr>
            <w:tcW w:type="auto"/>
          </w:tcPr>
        </w:tc>
      </w:tr>
      <w:tr>
        <w:tc>
          <w:p>
            <w:r>
              <w:rPr>
                <w:sz w:val="22"/>
              </w:rPr>
              <w:t xml:space="preserve">09:54</w:t>
            </w:r>
          </w:p>
          <w:tcPr>
            <w:tcW w:type="auto"/>
          </w:tcPr>
        </w:tc>
        <w:tc>
          <w:p>
            <w:r>
              <w:rPr>
                <w:sz w:val="22"/>
              </w:rPr>
              <w:t xml:space="preserve">Ravi Patel</w:t>
            </w:r>
          </w:p>
          <w:tcPr>
            <w:tcW w:type="auto"/>
          </w:tcPr>
        </w:tc>
        <w:tc>
          <w:p>
            <w:r>
              <w:rPr>
                <w:sz w:val="22"/>
              </w:rPr>
              <w:t xml:space="preserve">For the steering review, I suggest we show before-and-after: messy service note in, structured triage summary out. It is simple and it will land with non-technical stakeholders.</w:t>
            </w:r>
          </w:p>
          <w:tcPr>
            <w:tcW w:type="auto"/>
          </w:tcPr>
        </w:tc>
      </w:tr>
      <w:tr>
        <w:tc>
          <w:p>
            <w:r>
              <w:rPr>
                <w:sz w:val="22"/>
              </w:rPr>
              <w:t xml:space="preserve">09:57</w:t>
            </w:r>
          </w:p>
          <w:tcPr>
            <w:tcW w:type="auto"/>
          </w:tcPr>
        </w:tc>
        <w:tc>
          <w:p>
            <w:r>
              <w:rPr>
                <w:sz w:val="22"/>
              </w:rPr>
              <w:t xml:space="preserve">Mika Lehtonen</w:t>
            </w:r>
          </w:p>
          <w:tcPr>
            <w:tcW w:type="auto"/>
          </w:tcPr>
        </w:tc>
        <w:tc>
          <w:p>
            <w:r>
              <w:rPr>
                <w:sz w:val="22"/>
              </w:rPr>
              <w:t xml:space="preserve">Final unresolved question: who owns the production documentation repository decision? I will take that to the operations leadership meeting.</w:t>
            </w:r>
          </w:p>
          <w:tcPr>
            <w:tcW w:type="auto"/>
          </w:tcPr>
        </w:tc>
      </w:tr>
      <w:tr>
        <w:tc>
          <w:p>
            <w:r>
              <w:rPr>
                <w:sz w:val="22"/>
              </w:rPr>
              <w:t xml:space="preserve">10:00</w:t>
            </w:r>
          </w:p>
          <w:tcPr>
            <w:tcW w:type="auto"/>
          </w:tcPr>
        </w:tc>
        <w:tc>
          <w:p>
            <w:r>
              <w:rPr>
                <w:sz w:val="22"/>
              </w:rPr>
              <w:t xml:space="preserve">Mika Lehtonen</w:t>
            </w:r>
          </w:p>
          <w:tcPr>
            <w:tcW w:type="auto"/>
          </w:tcPr>
        </w:tc>
        <w:tc>
          <w:p>
            <w:r>
              <w:rPr>
                <w:sz w:val="22"/>
              </w:rPr>
              <w:t xml:space="preserve">Thanks. This was unusually productive for a meeting with the word alignment in the invite. I will send the summary and action plan today.</w:t>
            </w:r>
          </w:p>
          <w:tcPr>
            <w:tcW w:type="auto"/>
          </w:tcPr>
        </w:tc>
      </w:tr>
    </w:tbl>
    <w:p/>
    <w:p>
      <w:r>
        <w:rPr>
          <w:b/>
          <w:sz w:val="24"/>
        </w:rPr>
        <w:t xml:space="preserve">Trainer note</w:t>
      </w:r>
    </w:p>
    <w:p>
      <w:r>
        <w:rPr>
          <w:sz w:val="22"/>
        </w:rPr>
        <w:t xml:space="preserve">This transcript intentionally includes decisions, action items, risks, dependencies, and unresolved questions. It also includes mild ambiguity so Copilot can be prompted to mark uncertain items instead of inventing certainty.</w:t>
      </w:r>
    </w:p>
    <w:p/>
  </w:body>
</w:document>
</file>