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3105c97389c4499" 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Service Excellence Pilot: Pilot Plan</w:t>
      </w:r>
    </w:p>
    <w:p>
      <w:r>
        <w:rPr>
          <w:i/>
          <w:sz w:val="22"/>
        </w:rPr>
        <w:t xml:space="preserve">Synthetic training data. Contains no patient data, no real customer data, and no confidential Topcon content.</w:t>
      </w:r>
    </w:p>
    <w:p>
      <w:r>
        <w:rPr>
          <w:sz w:val="22"/>
        </w:rPr>
        <w:t xml:space="preserve">Black Belt Consulting × AO Finland — Agentic Software Development Training, Day 1</w:t>
      </w:r>
    </w:p>
    <w:p/>
    <w:p>
      <w:r>
        <w:rPr>
          <w:b/>
          <w:sz w:val="24"/>
        </w:rPr>
        <w:t xml:space="preserve">Executive summary</w:t>
      </w:r>
    </w:p>
    <w:p>
      <w:r>
        <w:rPr>
          <w:sz w:val="22"/>
        </w:rPr>
        <w:t xml:space="preserve">The Service Excellence Pilot is a fictional internal initiative designed for Microsoft 365 Copilot and agent training. The pilot focuses on improving remote triage consistency and service-note quality for diagnostic equipment support.</w:t>
      </w:r>
    </w:p>
    <w:p>
      <w:r>
        <w:rPr>
          <w:sz w:val="22"/>
        </w:rPr>
        <w:t xml:space="preserve">It does not include patient data, clinical decision-making, warranty decisions, automated customer commitments, or live production system integration.</w:t>
      </w:r>
    </w:p>
    <w:p/>
    <w:p>
      <w:r>
        <w:rPr>
          <w:b/>
          <w:sz w:val="24"/>
        </w:rPr>
        <w:t xml:space="preserve">Objectives</w:t>
      </w:r>
    </w:p>
    <w:p>
      <w:r>
        <w:rPr>
          <w:sz w:val="22"/>
        </w:rPr>
        <w:t xml:space="preserve">Improve consistency of initial service notes.</w:t>
      </w:r>
    </w:p>
    <w:p>
      <w:r>
        <w:rPr>
          <w:sz w:val="22"/>
        </w:rPr>
        <w:t xml:space="preserve">Reduce ambiguity in handovers between service operations and product support.</w:t>
      </w:r>
    </w:p>
    <w:p>
      <w:r>
        <w:rPr>
          <w:sz w:val="22"/>
        </w:rPr>
        <w:t xml:space="preserve">Create a lightweight process guide that can be used as a knowledge source for a simple agent.</w:t>
      </w:r>
    </w:p>
    <w:p>
      <w:r>
        <w:rPr>
          <w:sz w:val="22"/>
        </w:rPr>
        <w:t xml:space="preserve">Teach verification habits: source checking, uncertainty handling, and safe refusal.</w:t>
      </w:r>
    </w:p>
    <w:p/>
    <w:p>
      <w:r>
        <w:rPr>
          <w:b/>
          <w:sz w:val="24"/>
        </w:rPr>
        <w:t xml:space="preserve">In scope</w:t>
      </w:r>
    </w:p>
    <w:p>
      <w:r>
        <w:rPr>
          <w:sz w:val="22"/>
        </w:rPr>
        <w:t xml:space="preserve">Remote triage categorization for synthetic service cases.</w:t>
      </w:r>
    </w:p>
    <w:p>
      <w:r>
        <w:rPr>
          <w:sz w:val="22"/>
        </w:rPr>
        <w:t xml:space="preserve">Required service-note fields and escalation criteria.</w:t>
      </w:r>
    </w:p>
    <w:p>
      <w:r>
        <w:rPr>
          <w:sz w:val="22"/>
        </w:rPr>
        <w:t xml:space="preserve">Internal training examples for Copilot and Copilot Studio.</w:t>
      </w:r>
    </w:p>
    <w:p>
      <w:r>
        <w:rPr>
          <w:sz w:val="22"/>
        </w:rPr>
        <w:t xml:space="preserve">Business-readable reporting for a fictional steering review.</w:t>
      </w:r>
    </w:p>
    <w:p/>
    <w:p>
      <w:r>
        <w:rPr>
          <w:b/>
          <w:sz w:val="24"/>
        </w:rPr>
        <w:t xml:space="preserve">Out of scope</w:t>
      </w:r>
    </w:p>
    <w:p>
      <w:r>
        <w:rPr>
          <w:sz w:val="22"/>
        </w:rPr>
        <w:t xml:space="preserve">Patient-identifying information or clinical interpretation.</w:t>
      </w:r>
    </w:p>
    <w:p>
      <w:r>
        <w:rPr>
          <w:sz w:val="22"/>
        </w:rPr>
        <w:t xml:space="preserve">Automated replies to customers.</w:t>
      </w:r>
    </w:p>
    <w:p>
      <w:r>
        <w:rPr>
          <w:sz w:val="22"/>
        </w:rPr>
        <w:t xml:space="preserve">Warranty decisions or contractual commitments.</w:t>
      </w:r>
    </w:p>
    <w:p>
      <w:r>
        <w:rPr>
          <w:sz w:val="22"/>
        </w:rPr>
        <w:t xml:space="preserve">Integration with production service management systems.</w:t>
      </w:r>
    </w:p>
    <w:p>
      <w:r>
        <w:rPr>
          <w:sz w:val="22"/>
        </w:rPr>
        <w:t xml:space="preserve">Replacing human review or quality approval.</w:t>
      </w:r>
    </w:p>
    <w:p/>
    <w:p>
      <w:r>
        <w:rPr>
          <w:b/>
          <w:sz w:val="24"/>
        </w:rPr>
        <w:t xml:space="preserve">Stakeholders</w:t>
      </w:r>
    </w:p>
    <w:p>
      <w:r>
        <w:rPr>
          <w:sz w:val="22"/>
        </w:rPr>
        <w:t xml:space="preserve">Mika Lehtonen — Pilot sponsor and steering summary owner.</w:t>
      </w:r>
    </w:p>
    <w:p>
      <w:r>
        <w:rPr>
          <w:sz w:val="22"/>
        </w:rPr>
        <w:t xml:space="preserve">Sofia Niemi — Service operations lead and required-fields approver.</w:t>
      </w:r>
    </w:p>
    <w:p>
      <w:r>
        <w:rPr>
          <w:sz w:val="22"/>
        </w:rPr>
        <w:t xml:space="preserve">Ravi Patel — Product support lead and synthetic case owner.</w:t>
      </w:r>
    </w:p>
    <w:p>
      <w:r>
        <w:rPr>
          <w:sz w:val="22"/>
        </w:rPr>
        <w:t xml:space="preserve">Laura Chen — Documentation owner and process-guide author.</w:t>
      </w:r>
    </w:p>
    <w:p>
      <w:r>
        <w:rPr>
          <w:sz w:val="22"/>
        </w:rPr>
        <w:t xml:space="preserve">Elena García — Quality and compliance reviewer.</w:t>
      </w:r>
    </w:p>
    <w:p/>
    <w:p>
      <w:r>
        <w:rPr>
          <w:b/>
          <w:sz w:val="24"/>
        </w:rPr>
        <w:t xml:space="preserve">Timeline</w:t>
      </w:r>
    </w:p>
    <w:p>
      <w:r>
        <w:rPr>
          <w:sz w:val="22"/>
        </w:rPr>
        <w:t xml:space="preserve">10 June 2026: Alignment meeting and scope decision.</w:t>
      </w:r>
    </w:p>
    <w:p>
      <w:r>
        <w:rPr>
          <w:sz w:val="22"/>
        </w:rPr>
        <w:t xml:space="preserve">13 June 2026: Required service-note fields confirmed.</w:t>
      </w:r>
    </w:p>
    <w:p>
      <w:r>
        <w:rPr>
          <w:sz w:val="22"/>
        </w:rPr>
        <w:t xml:space="preserve">17 June 2026: Draft process guide completed.</w:t>
      </w:r>
    </w:p>
    <w:p>
      <w:r>
        <w:rPr>
          <w:sz w:val="22"/>
        </w:rPr>
        <w:t xml:space="preserve">18 June 2026: Synthetic service cases completed.</w:t>
      </w:r>
    </w:p>
    <w:p>
      <w:r>
        <w:rPr>
          <w:sz w:val="22"/>
        </w:rPr>
        <w:t xml:space="preserve">20 June 2026: Guardrails and safety review completed.</w:t>
      </w:r>
    </w:p>
    <w:p>
      <w:r>
        <w:rPr>
          <w:sz w:val="22"/>
        </w:rPr>
        <w:t xml:space="preserve">24 June 2026: Steering summary packaged.</w:t>
      </w:r>
    </w:p>
    <w:p>
      <w:r>
        <w:rPr>
          <w:sz w:val="22"/>
        </w:rPr>
        <w:t xml:space="preserve">July 2026: Fictional steering review demo.</w:t>
      </w:r>
    </w:p>
    <w:p/>
    <w:p>
      <w:r>
        <w:rPr>
          <w:b/>
          <w:sz w:val="24"/>
        </w:rPr>
        <w:t xml:space="preserve">Success metrics</w:t>
      </w:r>
    </w:p>
    <w:p>
      <w:r>
        <w:rPr>
          <w:sz w:val="22"/>
        </w:rPr>
        <w:t xml:space="preserve">First-response completeness: percentage of synthetic cases with all required fields present.</w:t>
      </w:r>
    </w:p>
    <w:p>
      <w:r>
        <w:rPr>
          <w:sz w:val="22"/>
        </w:rPr>
        <w:t xml:space="preserve">Escalation accuracy: percentage of synthetic cases routed to the correct queue.</w:t>
      </w:r>
    </w:p>
    <w:p>
      <w:r>
        <w:rPr>
          <w:sz w:val="22"/>
        </w:rPr>
        <w:t xml:space="preserve">Ambiguity reduction: number of unclear ownership or missing-information flags identified before handover.</w:t>
      </w:r>
    </w:p>
    <w:p>
      <w:r>
        <w:rPr>
          <w:sz w:val="22"/>
        </w:rPr>
        <w:t xml:space="preserve">User confidence: qualitative feedback from business and technical learners.</w:t>
      </w:r>
    </w:p>
    <w:p/>
    <w:p>
      <w:r>
        <w:rPr>
          <w:b/>
          <w:sz w:val="24"/>
        </w:rPr>
        <w:t xml:space="preserve">Governance notes</w:t>
      </w:r>
    </w:p>
    <w:p>
      <w:r>
        <w:rPr>
          <w:sz w:val="22"/>
        </w:rPr>
        <w:t xml:space="preserve">All training content is synthetic and safe for demo use.</w:t>
      </w:r>
    </w:p>
    <w:p>
      <w:r>
        <w:rPr>
          <w:sz w:val="22"/>
        </w:rPr>
        <w:t xml:space="preserve">The agent should answer from the approved guide only.</w:t>
      </w:r>
    </w:p>
    <w:p>
      <w:r>
        <w:rPr>
          <w:sz w:val="22"/>
        </w:rPr>
        <w:t xml:space="preserve">If the answer is not in the guide, the agent should say so and redirect to the process owner.</w:t>
      </w:r>
    </w:p>
    <w:p>
      <w:r>
        <w:rPr>
          <w:sz w:val="22"/>
        </w:rPr>
        <w:t xml:space="preserve">In production, source documents require ownership, review date, approved storage, and lifecycle management.</w:t>
      </w:r>
    </w:p>
    <w:p/>
  </w:body>
</w:document>
</file>