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cc3740fdbc74369" 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Service Excellence Pilot: Risk and Dependency Notes</w:t>
      </w:r>
    </w:p>
    <w:p>
      <w:r>
        <w:rPr>
          <w:i/>
          <w:sz w:val="22"/>
        </w:rPr>
        <w:t xml:space="preserve">Synthetic training data. Contains no patient data, no real customer data, and no confidential Topcon content.</w:t>
      </w:r>
    </w:p>
    <w:p>
      <w:r>
        <w:rPr>
          <w:sz w:val="22"/>
        </w:rPr>
        <w:t xml:space="preserve">Black Belt Consulting × AO Finland — Agentic Software Development Training, Day 1</w:t>
      </w:r>
    </w:p>
    <w:p/>
    <w:p>
      <w:r>
        <w:rPr>
          <w:b/>
          <w:sz w:val="24"/>
        </w:rPr>
        <w:t xml:space="preserve">Risk register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  <w:sz w:val="22"/>
              </w:rPr>
              <w:t xml:space="preserve">ID</w:t>
            </w:r>
          </w:p>
          <w:tcPr>
            <w:tcW w:type="auto"/>
          </w:tcPr>
        </w:tc>
        <w:tc>
          <w:p>
            <w:r>
              <w:rPr>
                <w:b/>
                <w:sz w:val="22"/>
              </w:rPr>
              <w:t xml:space="preserve">Risk</w:t>
            </w:r>
          </w:p>
          <w:tcPr>
            <w:tcW w:type="auto"/>
          </w:tcPr>
        </w:tc>
        <w:tc>
          <w:p>
            <w:r>
              <w:rPr>
                <w:b/>
                <w:sz w:val="22"/>
              </w:rPr>
              <w:t xml:space="preserve">Impact</w:t>
            </w:r>
          </w:p>
          <w:tcPr>
            <w:tcW w:type="auto"/>
          </w:tcPr>
        </w:tc>
        <w:tc>
          <w:p>
            <w:r>
              <w:rPr>
                <w:b/>
                <w:sz w:val="22"/>
              </w:rPr>
              <w:t xml:space="preserve">Likelihood</w:t>
            </w:r>
          </w:p>
          <w:tcPr>
            <w:tcW w:type="auto"/>
          </w:tcPr>
        </w:tc>
        <w:tc>
          <w:p>
            <w:r>
              <w:rPr>
                <w:b/>
                <w:sz w:val="22"/>
              </w:rPr>
              <w:t xml:space="preserve">Mitigation</w:t>
            </w:r>
          </w:p>
          <w:tcPr>
            <w:tcW w:type="auto"/>
          </w:tcPr>
        </w:tc>
        <w:tc>
          <w:p>
            <w:r>
              <w:rPr>
                <w:b/>
                <w:sz w:val="22"/>
              </w:rPr>
              <w:t xml:space="preserve">Owner</w:t>
            </w:r>
          </w:p>
          <w:tcPr>
            <w:tcW w:type="auto"/>
          </w:tcPr>
        </w:tc>
      </w:tr>
      <w:tr>
        <w:tc>
          <w:p>
            <w:r>
              <w:rPr>
                <w:sz w:val="22"/>
              </w:rPr>
              <w:t xml:space="preserve">R-01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Overtrust in polished AI output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High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Medium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Require source-check prompt and visible verification in demos.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Elena García</w:t>
            </w:r>
          </w:p>
          <w:tcPr>
            <w:tcW w:type="auto"/>
          </w:tcPr>
        </w:tc>
      </w:tr>
      <w:tr>
        <w:tc>
          <w:p>
            <w:r>
              <w:rPr>
                <w:sz w:val="22"/>
              </w:rPr>
              <w:t xml:space="preserve">R-02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Regional terminology causes inconsistent categorization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Medium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High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Include synonym examples in process guide and synthetic cases.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Sofia Niemi</w:t>
            </w:r>
          </w:p>
          <w:tcPr>
            <w:tcW w:type="auto"/>
          </w:tcPr>
        </w:tc>
      </w:tr>
      <w:tr>
        <w:tc>
          <w:p>
            <w:r>
              <w:rPr>
                <w:sz w:val="22"/>
              </w:rPr>
              <w:t xml:space="preserve">R-03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Agent answers beyond approved guide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High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Medium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Add explicit instructions: answer only from source; refuse or redirect when unsupported.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Laura Chen</w:t>
            </w:r>
          </w:p>
          <w:tcPr>
            <w:tcW w:type="auto"/>
          </w:tcPr>
        </w:tc>
      </w:tr>
      <w:tr>
        <w:tc>
          <w:p>
            <w:r>
              <w:rPr>
                <w:sz w:val="22"/>
              </w:rPr>
              <w:t xml:space="preserve">R-04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Participants paste real sensitive data into demo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High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Low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Start demos and labs with clear synthetic-data-only instruction.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Mika Lehtonen</w:t>
            </w:r>
          </w:p>
          <w:tcPr>
            <w:tcW w:type="auto"/>
          </w:tcPr>
        </w:tc>
      </w:tr>
      <w:tr>
        <w:tc>
          <w:p>
            <w:r>
              <w:rPr>
                <w:sz w:val="22"/>
              </w:rPr>
              <w:t xml:space="preserve">R-05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Copilot Studio access unavailable for Track B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Medium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Medium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Prepare trainer-led fallback and screenshots.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Ravi Patel</w:t>
            </w:r>
          </w:p>
          <w:tcPr>
            <w:tcW w:type="auto"/>
          </w:tcPr>
        </w:tc>
      </w:tr>
    </w:tbl>
    <w:p/>
    <w:p>
      <w:r>
        <w:rPr>
          <w:b/>
          <w:sz w:val="24"/>
        </w:rPr>
        <w:t xml:space="preserve">Dependencies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  <w:sz w:val="22"/>
              </w:rPr>
              <w:t xml:space="preserve">ID</w:t>
            </w:r>
          </w:p>
          <w:tcPr>
            <w:tcW w:type="auto"/>
          </w:tcPr>
        </w:tc>
        <w:tc>
          <w:p>
            <w:r>
              <w:rPr>
                <w:b/>
                <w:sz w:val="22"/>
              </w:rPr>
              <w:t xml:space="preserve">Dependency</w:t>
            </w:r>
          </w:p>
          <w:tcPr>
            <w:tcW w:type="auto"/>
          </w:tcPr>
        </w:tc>
        <w:tc>
          <w:p>
            <w:r>
              <w:rPr>
                <w:b/>
                <w:sz w:val="22"/>
              </w:rPr>
              <w:t xml:space="preserve">Owner</w:t>
            </w:r>
          </w:p>
          <w:tcPr>
            <w:tcW w:type="auto"/>
          </w:tcPr>
        </w:tc>
        <w:tc>
          <w:p>
            <w:r>
              <w:rPr>
                <w:b/>
                <w:sz w:val="22"/>
              </w:rPr>
              <w:t xml:space="preserve">Due</w:t>
            </w:r>
          </w:p>
          <w:tcPr>
            <w:tcW w:type="auto"/>
          </w:tcPr>
        </w:tc>
        <w:tc>
          <w:p>
            <w:r>
              <w:rPr>
                <w:b/>
                <w:sz w:val="22"/>
              </w:rPr>
              <w:t xml:space="preserve">Status</w:t>
            </w:r>
          </w:p>
          <w:tcPr>
            <w:tcW w:type="auto"/>
          </w:tcPr>
        </w:tc>
      </w:tr>
      <w:tr>
        <w:tc>
          <w:p>
            <w:r>
              <w:rPr>
                <w:sz w:val="22"/>
              </w:rPr>
              <w:t xml:space="preserve">D-01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Required service-note fields confirmed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Sofia Niemi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13 June 2026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Open</w:t>
            </w:r>
          </w:p>
          <w:tcPr>
            <w:tcW w:type="auto"/>
          </w:tcPr>
        </w:tc>
      </w:tr>
      <w:tr>
        <w:tc>
          <w:p>
            <w:r>
              <w:rPr>
                <w:sz w:val="22"/>
              </w:rPr>
              <w:t xml:space="preserve">D-02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Process guide draft created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Laura Chen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17 June 2026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Open</w:t>
            </w:r>
          </w:p>
          <w:tcPr>
            <w:tcW w:type="auto"/>
          </w:tcPr>
        </w:tc>
      </w:tr>
      <w:tr>
        <w:tc>
          <w:p>
            <w:r>
              <w:rPr>
                <w:sz w:val="22"/>
              </w:rPr>
              <w:t xml:space="preserve">D-03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Synthetic cases prepared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Ravi Patel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18 June 2026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Open</w:t>
            </w:r>
          </w:p>
          <w:tcPr>
            <w:tcW w:type="auto"/>
          </w:tcPr>
        </w:tc>
      </w:tr>
      <w:tr>
        <w:tc>
          <w:p>
            <w:r>
              <w:rPr>
                <w:sz w:val="22"/>
              </w:rPr>
              <w:t xml:space="preserve">D-04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Guardrails reviewed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Elena García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20 June 2026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Open</w:t>
            </w:r>
          </w:p>
          <w:tcPr>
            <w:tcW w:type="auto"/>
          </w:tcPr>
        </w:tc>
      </w:tr>
      <w:tr>
        <w:tc>
          <w:p>
            <w:r>
              <w:rPr>
                <w:sz w:val="22"/>
              </w:rPr>
              <w:t xml:space="preserve">D-05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Copilot Studio access confirmed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Mika Lehtonen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Before training</w:t>
            </w:r>
          </w:p>
          <w:tcPr>
            <w:tcW w:type="auto"/>
          </w:tcPr>
        </w:tc>
        <w:tc>
          <w:p>
            <w:r>
              <w:rPr>
                <w:sz w:val="22"/>
              </w:rPr>
              <w:t xml:space="preserve">At risk</w:t>
            </w:r>
          </w:p>
          <w:tcPr>
            <w:tcW w:type="auto"/>
          </w:tcPr>
        </w:tc>
      </w:tr>
    </w:tbl>
    <w:p/>
    <w:p>
      <w:r>
        <w:rPr>
          <w:b/>
          <w:sz w:val="24"/>
        </w:rPr>
        <w:t xml:space="preserve">Trainer note</w:t>
      </w:r>
    </w:p>
    <w:p>
      <w:r>
        <w:rPr>
          <w:sz w:val="22"/>
        </w:rPr>
        <w:t xml:space="preserve">This document intentionally overlaps with the meeting transcript and pilot plan. Use it with the pilot plan and metrics workbook to ask Copilot for a one-page steering status report. Then ask Copilot to show gaps and source notes.</w:t>
      </w:r>
    </w:p>
    <w:p/>
  </w:body>
</w:document>
</file>