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3AFB8">
      <w:pPr>
        <w:spacing w:before="0" w:after="120" w:line="312" w:lineRule="auto"/>
        <w:ind w:firstLine="0"/>
        <w:jc w:val="center"/>
        <w:rPr>
          <w:rFonts w:hint="eastAsia" w:ascii="方正大黑体_GBK" w:hAnsi="方正大黑体_GBK" w:eastAsia="方正大黑体_GBK" w:cs="方正大黑体_GBK"/>
          <w:sz w:val="48"/>
          <w:szCs w:val="48"/>
        </w:rPr>
      </w:pPr>
      <w:bookmarkStart w:id="0" w:name="_GoBack"/>
      <w:bookmarkEnd w:id="0"/>
      <w:r>
        <w:rPr>
          <w:rFonts w:hint="eastAsia" w:ascii="方正大黑体_GBK" w:hAnsi="方正大黑体_GBK" w:eastAsia="方正大黑体_GBK" w:cs="方正大黑体_GBK"/>
          <w:sz w:val="48"/>
          <w:szCs w:val="48"/>
          <w:lang w:val="en-US" w:eastAsia="zh-CN"/>
        </w:rPr>
        <w:t>2026</w:t>
      </w:r>
      <w:r>
        <w:rPr>
          <w:rFonts w:hint="eastAsia" w:ascii="方正大黑体_GBK" w:hAnsi="方正大黑体_GBK" w:eastAsia="方正大黑体_GBK" w:cs="方正大黑体_GBK"/>
          <w:sz w:val="48"/>
          <w:szCs w:val="48"/>
        </w:rPr>
        <w:t>全国大学生数学建模竞赛</w:t>
      </w:r>
    </w:p>
    <w:p w14:paraId="16866238">
      <w:pPr>
        <w:spacing w:before="0" w:after="120" w:line="312" w:lineRule="auto"/>
        <w:ind w:firstLine="0"/>
        <w:jc w:val="center"/>
        <w:rPr>
          <w:rFonts w:hint="eastAsia" w:ascii="方正大黑体_GBK" w:hAnsi="方正大黑体_GBK" w:eastAsia="方正大黑体_GBK" w:cs="方正大黑体_GBK"/>
          <w:sz w:val="48"/>
          <w:szCs w:val="48"/>
        </w:rPr>
      </w:pPr>
      <w:r>
        <w:rPr>
          <w:rFonts w:hint="eastAsia" w:ascii="方正大黑体_GBK" w:hAnsi="方正大黑体_GBK" w:eastAsia="方正大黑体_GBK" w:cs="方正大黑体_GBK"/>
          <w:sz w:val="48"/>
          <w:szCs w:val="48"/>
        </w:rPr>
        <w:t>AI工具使用详情说明</w:t>
      </w:r>
    </w:p>
    <w:p w14:paraId="6FBEA38F">
      <w:pPr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  <w:szCs w:val="26"/>
        </w:rPr>
        <w:t>一、所用AI工具名称、版本或型号</w:t>
      </w:r>
    </w:p>
    <w:tbl>
      <w:tblPr>
        <w:tblStyle w:val="32"/>
        <w:tblW w:w="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2745"/>
        <w:gridCol w:w="2351"/>
        <w:gridCol w:w="2351"/>
      </w:tblGrid>
      <w:tr w14:paraId="6243E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1B80D62B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序号</w:t>
            </w:r>
          </w:p>
        </w:tc>
        <w:tc>
          <w:tcPr>
            <w:tcW w:w="274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5B0464E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AI工具名称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2555B6C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版本/型号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0EB57AA4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主要用途</w:t>
            </w:r>
          </w:p>
        </w:tc>
      </w:tr>
      <w:tr w14:paraId="7E33A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0031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1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2762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DeepSeek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E602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4.1 Flash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F1CAF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文字润色、模型假设与符号建立、参考文献检验</w:t>
            </w:r>
          </w:p>
        </w:tc>
      </w:tr>
      <w:tr w14:paraId="1DF46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07BA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2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144B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A680E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98360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</w:tr>
      <w:tr w14:paraId="7D9F3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4981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3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8B62A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3455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A82C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</w:tr>
      <w:tr w14:paraId="20E6D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BEE39B0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4</w:t>
            </w:r>
          </w:p>
        </w:tc>
        <w:tc>
          <w:tcPr>
            <w:tcW w:w="274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28C1C7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893F88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9EC4B3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after="0" w:line="240" w:lineRule="auto"/>
              <w:ind w:firstLine="0"/>
              <w:jc w:val="left"/>
              <w:textAlignment w:val="auto"/>
            </w:pPr>
          </w:p>
        </w:tc>
      </w:tr>
    </w:tbl>
    <w:p w14:paraId="7B176046">
      <w:pPr>
        <w:spacing w:before="160" w:after="80" w:line="312" w:lineRule="auto"/>
        <w:ind w:firstLine="0"/>
        <w:rPr>
          <w:rFonts w:ascii="黑体" w:hAnsi="黑体" w:eastAsia="黑体"/>
          <w:color w:val="1F3A5F"/>
          <w:sz w:val="26"/>
        </w:rPr>
      </w:pPr>
    </w:p>
    <w:p w14:paraId="27DAFA90">
      <w:pPr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  <w:szCs w:val="26"/>
        </w:rPr>
        <w:t>二、具体使用目的和环节</w:t>
      </w:r>
    </w:p>
    <w:tbl>
      <w:tblPr>
        <w:tblStyle w:val="32"/>
        <w:tblW w:w="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002"/>
        <w:gridCol w:w="1174"/>
        <w:gridCol w:w="2543"/>
        <w:gridCol w:w="2149"/>
      </w:tblGrid>
      <w:tr w14:paraId="2C6D3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3774FB12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序号</w:t>
            </w:r>
          </w:p>
        </w:tc>
        <w:tc>
          <w:tcPr>
            <w:tcW w:w="2002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22C9EB1B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论文写作环节</w:t>
            </w:r>
          </w:p>
        </w:tc>
        <w:tc>
          <w:tcPr>
            <w:tcW w:w="117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5AD800F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是否使用</w:t>
            </w:r>
          </w:p>
        </w:tc>
        <w:tc>
          <w:tcPr>
            <w:tcW w:w="254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344E029F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使用目的</w:t>
            </w:r>
          </w:p>
        </w:tc>
        <w:tc>
          <w:tcPr>
            <w:tcW w:w="214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096E45C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使用工具</w:t>
            </w:r>
          </w:p>
        </w:tc>
      </w:tr>
      <w:tr w14:paraId="5A82C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591F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1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30581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赛题理解与问题分析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A90C2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04DD8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未使用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C2B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—</w:t>
            </w:r>
          </w:p>
        </w:tc>
      </w:tr>
      <w:tr w14:paraId="46D0C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4786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2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CD76E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模型假设与符号定义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6C67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是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5EDAC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辅助规范模型假设的文字表述，核对符号定义的唯一性、完整性与量纲一致性；假设内容与符号选取均由本队确定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1805B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DeepSeek 4.1 Flash</w:t>
            </w:r>
          </w:p>
        </w:tc>
      </w:tr>
      <w:tr w14:paraId="339E3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71414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3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12AF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模型建立与算法设计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DA73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987D0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未使用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58A5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—</w:t>
            </w:r>
          </w:p>
        </w:tc>
      </w:tr>
      <w:tr w14:paraId="4AEA0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EB044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4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4CD5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模型求解与编程实现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755EB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D6B0C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未使用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79AAF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—</w:t>
            </w:r>
          </w:p>
        </w:tc>
      </w:tr>
      <w:tr w14:paraId="56F00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EEC9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5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2B3E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结果分析与模型检验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4D43C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5D22B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未使用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E299F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—</w:t>
            </w:r>
          </w:p>
        </w:tc>
      </w:tr>
      <w:tr w14:paraId="2A4A4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6570E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6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2DD42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论文撰写与文字润色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B970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是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8C64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优化文字表达，调整语句通顺度与专业术语表述，统一行文风格；不改变数据、结论与技术内容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B66B1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DeepSeek 4.1 Flash</w:t>
            </w:r>
          </w:p>
        </w:tc>
      </w:tr>
      <w:tr w14:paraId="7BBF3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843766C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7</w:t>
            </w:r>
          </w:p>
        </w:tc>
        <w:tc>
          <w:tcPr>
            <w:tcW w:w="200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06D8E68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其他辅助环节（文献/数据/图表等）</w:t>
            </w:r>
          </w:p>
        </w:tc>
        <w:tc>
          <w:tcPr>
            <w:tcW w:w="117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97733A5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是</w:t>
            </w:r>
          </w:p>
        </w:tc>
        <w:tc>
          <w:tcPr>
            <w:tcW w:w="254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A0FD2E1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检验参考文献著录格式，核对文献条目与正文引用编号的对应关系</w:t>
            </w:r>
          </w:p>
        </w:tc>
        <w:tc>
          <w:tcPr>
            <w:tcW w:w="214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4A1A41E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DeepSeek 4.1 Flash</w:t>
            </w:r>
          </w:p>
        </w:tc>
      </w:tr>
    </w:tbl>
    <w:p w14:paraId="1425636F">
      <w:pPr>
        <w:ind w:left="0" w:leftChars="0" w:firstLine="0" w:firstLineChars="0"/>
      </w:pPr>
    </w:p>
    <w:p w14:paraId="4E6B4A2D">
      <w:pPr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  <w:szCs w:val="26"/>
        </w:rPr>
        <w:t>三、主要提示方式与使用过程说明</w:t>
      </w:r>
    </w:p>
    <w:p w14:paraId="037B5CB7">
      <w:pPr>
        <w:spacing w:before="100" w:after="60" w:line="312" w:lineRule="auto"/>
        <w:ind w:firstLine="0"/>
      </w:pPr>
      <w:r>
        <w:rPr>
          <w:rFonts w:ascii="黑体" w:hAnsi="黑体" w:eastAsia="黑体"/>
          <w:b/>
          <w:sz w:val="22"/>
          <w:szCs w:val="22"/>
        </w:rPr>
        <w:t>（一）主要提示方式</w:t>
      </w:r>
    </w:p>
    <w:tbl>
      <w:tblPr>
        <w:tblStyle w:val="32"/>
        <w:tblW w:w="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83C8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2E6A89CF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序号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D31E461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提示方式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161F7DC8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是否使用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602682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简要说明</w:t>
            </w:r>
          </w:p>
        </w:tc>
      </w:tr>
      <w:tr w14:paraId="1FD1A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B39F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1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888C1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网页对话框交互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026A5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9F4F5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用于文字润色、模型假设与符号表述核对、参考文献检验</w:t>
            </w:r>
          </w:p>
        </w:tc>
      </w:tr>
      <w:tr w14:paraId="0456F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434BF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2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C7435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代码编辑器内嵌AI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1684B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02A0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—</w:t>
            </w:r>
          </w:p>
        </w:tc>
      </w:tr>
      <w:tr w14:paraId="6229C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CB742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3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2EF65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上传文件或数据对话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FE45A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B52C2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上传论文草稿，用于文字润色与参考文献格式核对</w:t>
            </w:r>
          </w:p>
        </w:tc>
      </w:tr>
      <w:tr w14:paraId="54694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2EB0A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4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44FA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AI智能体工作流（多步自动执行）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88C75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73A98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—</w:t>
            </w:r>
          </w:p>
        </w:tc>
      </w:tr>
      <w:tr w14:paraId="4756F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6C82728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5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14AE7BB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其他方式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C2856F1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否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D129CF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—</w:t>
            </w:r>
          </w:p>
        </w:tc>
      </w:tr>
    </w:tbl>
    <w:p w14:paraId="1D30404B">
      <w:pPr>
        <w:spacing w:before="100" w:after="60" w:line="312" w:lineRule="auto"/>
        <w:ind w:firstLine="0"/>
      </w:pPr>
      <w:r>
        <w:rPr>
          <w:rFonts w:ascii="黑体" w:hAnsi="黑体" w:eastAsia="黑体"/>
          <w:b/>
          <w:sz w:val="22"/>
          <w:szCs w:val="22"/>
        </w:rPr>
        <w:t>（二）典型交互示例</w:t>
      </w:r>
    </w:p>
    <w:p w14:paraId="77AC8898">
      <w:pPr>
        <w:spacing w:after="40" w:line="360" w:lineRule="auto"/>
        <w:ind w:firstLine="0"/>
      </w:pPr>
      <w:r>
        <w:rPr>
          <w:rFonts w:ascii="宋体" w:hAnsi="宋体" w:eastAsia="宋体"/>
          <w:b/>
          <w:sz w:val="21"/>
          <w:szCs w:val="21"/>
        </w:rPr>
        <w:t>示例1：</w:t>
      </w:r>
    </w:p>
    <w:tbl>
      <w:tblPr>
        <w:tblStyle w:val="32"/>
        <w:tblW w:w="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412C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1213A311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项目</w:t>
            </w:r>
          </w:p>
        </w:tc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252953FE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填写内容</w:t>
            </w:r>
          </w:p>
        </w:tc>
      </w:tr>
      <w:tr w14:paraId="407C0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A8B2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对应环节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9181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模型假设与符号定义</w:t>
            </w:r>
          </w:p>
        </w:tc>
      </w:tr>
      <w:tr w14:paraId="4B7B9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EB915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使用工具及版本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2E5F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DeepSeek 4.1 Flash</w:t>
            </w:r>
          </w:p>
        </w:tc>
      </w:tr>
      <w:tr w14:paraId="1B3F8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D9D7C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交互时间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7F20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2026-09-10 21:30</w:t>
            </w:r>
          </w:p>
        </w:tc>
      </w:tr>
      <w:tr w14:paraId="31EED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4C0B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本队提示词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322B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本队已初步拟定该问题的模型假设：①……；②……；③……。请检查这些假设是否表述严谨、有无冗余或相互矛盾，并核对下列符号（P、p、t、x等）的定义是否唯一、量纲是否一致。仅做表述规范与一致性检查，不要改变假设的实际含义，也不要新增或替换符号。</w:t>
            </w:r>
          </w:p>
        </w:tc>
      </w:tr>
      <w:tr w14:paraId="5999B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52FA2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AI回复</w:t>
            </w:r>
            <w:r>
              <w:rPr>
                <w:rFonts w:hint="eastAsia"/>
                <w:b w:val="0"/>
                <w:sz w:val="19"/>
                <w:szCs w:val="19"/>
                <w:lang w:val="en-US" w:eastAsia="zh-CN"/>
              </w:rPr>
              <w:t>内容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2731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AI指出假设②表述存在歧义，建议明确限定条件；提示符号P与p在不同段落分别表示功率与概率，容易混淆，建议加以区分；并列出需补充的量纲说明。AI未提出新的假设，也未改变模型结构。</w:t>
            </w:r>
          </w:p>
        </w:tc>
      </w:tr>
      <w:tr w14:paraId="7A70A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41B2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本队处理方式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D670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修改后采纳。采纳假设②的表述修改建议；将表示概率的符号p改为Pr，以区别于表示功率的P；对AI额外建议的两条假设经讨论后未采纳，因其超出本队建模需要。</w:t>
            </w:r>
          </w:p>
        </w:tc>
      </w:tr>
      <w:tr w14:paraId="4F1F9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9431473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人工核验方式</w:t>
            </w:r>
          </w:p>
        </w:tc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4D707CE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队员对照建模思路逐条复核假设含义，确认修改未改变假设实质；独立检查全部符号的定义与量纲，确认全文符号唯一、无重复定义。</w:t>
            </w:r>
          </w:p>
        </w:tc>
      </w:tr>
    </w:tbl>
    <w:p w14:paraId="4C49BC96">
      <w:pPr>
        <w:spacing w:after="40" w:line="360" w:lineRule="auto"/>
        <w:ind w:firstLine="0"/>
      </w:pPr>
      <w:r>
        <w:rPr>
          <w:rFonts w:ascii="宋体" w:hAnsi="宋体" w:eastAsia="宋体"/>
          <w:b/>
          <w:sz w:val="21"/>
          <w:szCs w:val="21"/>
        </w:rPr>
        <w:t>示例2：</w:t>
      </w:r>
    </w:p>
    <w:tbl>
      <w:tblPr>
        <w:tblStyle w:val="32"/>
        <w:tblW w:w="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603E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00FF8F61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项目</w:t>
            </w:r>
          </w:p>
        </w:tc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60A3E1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填写内容</w:t>
            </w:r>
          </w:p>
        </w:tc>
      </w:tr>
      <w:tr w14:paraId="3603D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E2BB3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对应环节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9159A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论文撰写与文字润色、其他辅助环节（参考文献检验）</w:t>
            </w:r>
          </w:p>
        </w:tc>
      </w:tr>
      <w:tr w14:paraId="14E6B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5CB5A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使用工具及版本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6F34B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DeepSeek 4.1 Flash</w:t>
            </w:r>
          </w:p>
        </w:tc>
      </w:tr>
      <w:tr w14:paraId="4D81C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14F84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交互时间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CF1BC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2026-09-12 15:00</w:t>
            </w:r>
          </w:p>
        </w:tc>
      </w:tr>
      <w:tr w14:paraId="3120D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9BFB4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本队提示词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BE42A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以下是本队论文的摘要、结论和参考文献部分（粘贴文本）。请：①优化语句表达，使行文通顺、术语规范，但不得改变任何数据、结论和技术内容；②按GB/T 7714—2015检查参考文献著录格式，核对正文引用编号与文献列表是否一一对应，并列出存在的问题。</w:t>
            </w:r>
          </w:p>
        </w:tc>
      </w:tr>
      <w:tr w14:paraId="3B50B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582A3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AI回复</w:t>
            </w:r>
            <w:r>
              <w:rPr>
                <w:rFonts w:hint="eastAsia"/>
                <w:b w:val="0"/>
                <w:sz w:val="19"/>
                <w:szCs w:val="19"/>
                <w:lang w:val="en-US" w:eastAsia="zh-CN"/>
              </w:rPr>
              <w:t>内容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3868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AI对摘要、结论中的部分长句进行了拆分和语序调整，使表达更通顺；在参考文献部分指出3条文献著录格式不规范（缺出版地、页码格式错误、作者姓名缩写不统一），并发现正文引用[5]在文献列表中缺失、文献[12]未在正文引用。</w:t>
            </w:r>
          </w:p>
        </w:tc>
      </w:tr>
      <w:tr w14:paraId="067E9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9156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本队处理方式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F052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修改后采纳。文字润色部分经核对未改变数据与结论，予以采纳；参考文献问题逐条核实：补正3条文献的著录格式，补上缺失的文献[5]，删除未被引用的文献[12]。</w:t>
            </w:r>
          </w:p>
        </w:tc>
      </w:tr>
      <w:tr w14:paraId="1E929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3F4290A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人工核验方式</w:t>
            </w:r>
          </w:p>
        </w:tc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081A250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队员逐句比对润色前后文本，确认数据、结论与技术内容未被改动；对照原始文献逐条核对著录信息，并重新检查正文引用编号与文献列表的对应关系。</w:t>
            </w:r>
          </w:p>
        </w:tc>
      </w:tr>
    </w:tbl>
    <w:p w14:paraId="356FD165"/>
    <w:p w14:paraId="4B70AF2C">
      <w:pPr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  <w:szCs w:val="26"/>
        </w:rPr>
        <w:t>四、对AI输出的采纳、人工修改和核验的主要情况</w:t>
      </w:r>
    </w:p>
    <w:tbl>
      <w:tblPr>
        <w:tblStyle w:val="32"/>
        <w:tblW w:w="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6A48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635FCA5F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序号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471534F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AI输出内容类别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0676871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采纳与修改情况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A903152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人工核验方式</w:t>
            </w:r>
          </w:p>
        </w:tc>
      </w:tr>
      <w:tr w14:paraId="7B795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5EF8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1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AB06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建模思路与方法建议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C36F3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未使用。建模思路与方法由本队独立完成，未使用AI。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7E34A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—</w:t>
            </w:r>
          </w:p>
        </w:tc>
      </w:tr>
      <w:tr w14:paraId="2347E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8FE2C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2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5401A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公式推导与理论参考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84922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未使用。公式推导与理论参考由本队独立完成，未使用AI。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47334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—</w:t>
            </w:r>
          </w:p>
        </w:tc>
      </w:tr>
      <w:tr w14:paraId="52E46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6016A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3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6F698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代码编写与调试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DFFB5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未使用。求解代码由本队独立编写与调试，未使用AI辅助编程。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476C0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—</w:t>
            </w:r>
          </w:p>
        </w:tc>
      </w:tr>
      <w:tr w14:paraId="3EB8B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19A65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4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915B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结果分析与模型评价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B7A28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未使用。结果分析与模型评价由本队独立完成，未使用AI。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5828E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—</w:t>
            </w:r>
          </w:p>
        </w:tc>
      </w:tr>
      <w:tr w14:paraId="667EA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A6A64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5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4875E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论文核心论述（摘要/结论等）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63E7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修改后采纳。AI仅对摘要、结论等做文字润色，未改变核心观点、数据与结论，本队逐句核对后采纳。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411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逐句比对润色前后文本，确认核心论述与数据结论未被改动。</w:t>
            </w:r>
          </w:p>
        </w:tc>
      </w:tr>
      <w:tr w14:paraId="049A4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A7CE304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6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04A020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其他内容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5EC58F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修改后采纳。AI辅助检验参考文献著录格式与引用对应关系，并核对模型假设与符号表述；本队逐条核实后采纳合理修改。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1CD32A3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对照原始文献核对著录信息，复核假设含义与符号量纲，确认无误。</w:t>
            </w:r>
          </w:p>
        </w:tc>
      </w:tr>
    </w:tbl>
    <w:p w14:paraId="041B2679">
      <w:pPr>
        <w:spacing w:after="40" w:line="360" w:lineRule="auto"/>
        <w:ind w:firstLine="0"/>
        <w:rPr>
          <w:rFonts w:ascii="宋体" w:hAnsi="宋体" w:eastAsia="宋体"/>
          <w:b/>
          <w:sz w:val="21"/>
        </w:rPr>
      </w:pPr>
    </w:p>
    <w:p w14:paraId="0A1B3D93">
      <w:pPr>
        <w:spacing w:after="40" w:line="360" w:lineRule="auto"/>
        <w:ind w:firstLine="0"/>
      </w:pPr>
      <w:r>
        <w:rPr>
          <w:rFonts w:ascii="宋体" w:hAnsi="宋体" w:eastAsia="宋体"/>
          <w:b/>
          <w:sz w:val="21"/>
          <w:szCs w:val="21"/>
        </w:rPr>
        <w:t>核心环节人工主导确认：</w:t>
      </w:r>
    </w:p>
    <w:tbl>
      <w:tblPr>
        <w:tblStyle w:val="32"/>
        <w:tblW w:w="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67D0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6692B4F3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序号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36F450CE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核心环节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65B3F9C4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是否本队主导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AE576A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  <w:szCs w:val="19"/>
              </w:rPr>
              <w:t>本队贡献说明</w:t>
            </w:r>
          </w:p>
        </w:tc>
      </w:tr>
      <w:tr w14:paraId="4A408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BE782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1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24739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模型结构与创新点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4957D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0CE30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模型结构与创新点由本队独立提出并完成，AI未参与。</w:t>
            </w:r>
          </w:p>
        </w:tc>
      </w:tr>
      <w:tr w14:paraId="1B697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96EE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2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D1C9C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公式推导与求解步骤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2042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7EF0B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全部公式推导与求解步骤由本队独立完成。</w:t>
            </w:r>
          </w:p>
        </w:tc>
      </w:tr>
      <w:tr w14:paraId="110A5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E5A9B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3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B5CAC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程序逻辑与参数设置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9CAB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5B984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求解程序逻辑、参数设置与调试由本队独立完成。</w:t>
            </w:r>
          </w:p>
        </w:tc>
      </w:tr>
      <w:tr w14:paraId="3E9F6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82DB3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4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BA398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结果分析与论文核心论述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4B3CF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E5ADE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结果分析及摘要、结论等核心论述由本队主导完成，AI仅做文字润色。</w:t>
            </w:r>
          </w:p>
        </w:tc>
      </w:tr>
      <w:tr w14:paraId="2E366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8CC7546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szCs w:val="19"/>
                <w:lang w:val="en-US" w:eastAsia="zh-CN"/>
              </w:rPr>
              <w:t>5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1B8F3B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  <w:rPr>
                <w:rFonts w:hint="default" w:ascii="宋体" w:hAnsi="宋体" w:eastAsia="宋体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szCs w:val="19"/>
                <w:lang w:val="en-US" w:eastAsia="zh-CN"/>
              </w:rPr>
              <w:t>论文撰写与图表制作等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013C442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  <w:szCs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7FB56E7">
            <w:pPr>
              <w:keepNext w:val="0"/>
              <w:keepLines w:val="0"/>
              <w:pageBreakBefore w:val="0"/>
              <w:widowControl/>
              <w:overflowPunct/>
              <w:autoSpaceDE/>
              <w:autoSpaceDN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sz w:val="19"/>
                <w:szCs w:val="19"/>
              </w:rPr>
              <w:t>论文撰写与图表制作由本队完成；AI仅用于文字润色、假设符号表述核对及参考文献格式检验。</w:t>
            </w:r>
          </w:p>
        </w:tc>
      </w:tr>
    </w:tbl>
    <w:p w14:paraId="7EE962AB"/>
    <w:p w14:paraId="0DA8B18B">
      <w:pPr>
        <w:spacing w:after="40" w:line="360" w:lineRule="auto"/>
        <w:ind w:firstLine="0"/>
      </w:pPr>
      <w:r>
        <w:rPr>
          <w:rFonts w:ascii="宋体" w:hAnsi="宋体" w:eastAsia="宋体"/>
          <w:b/>
          <w:sz w:val="19"/>
          <w:szCs w:val="19"/>
        </w:rPr>
        <w:t>本队确认：以上AI工具使用情况真实完整，无隐瞒、无虚假陈述。核心建模与分析由本队主导完成，所有AI输出内容（语言润色除外）均经过人工审查与核实。如有不实，本队愿承担相应责任。</w:t>
      </w:r>
    </w:p>
    <w:sectPr>
      <w:pgSz w:w="12240" w:h="15840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汇文明朝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汇文明朝体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WPSEMBED1">
    <w:panose1 w:val="02010600010101010101"/>
    <w:charset w:val="86"/>
    <w:family w:val="auto"/>
    <w:pitch w:val="default"/>
    <w:sig w:usb0="00000001" w:usb1="080E0000" w:usb2="00000000" w:usb3="00000000" w:csb0="40040001" w:csb1="C0D6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03D62ECE"/>
    <w:multiLevelType w:val="singleLevel"/>
    <w:tmpl w:val="03D62ECE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000000"/>
    <w:rsid w:val="228047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360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1995</Words>
  <Characters>2146</Characters>
  <DocSecurity>0</DocSecurity>
  <Lines>0</Lines>
  <Paragraphs>0</Paragraphs>
  <ScaleCrop>false</ScaleCrop>
  <LinksUpToDate>false</LinksUpToDate>
  <CharactersWithSpaces>2160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2026-10-29T14:39:59Z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eyJoZGlkIjoiYzg5NDExNGNiZTI1NTFhNmRjOTkzOWY4ZjdmZDNhMGUiLCJ1c2VySWQiOiIyNzg5NDI3MjYifQ==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215A4BF0CB5845E8A2B7E0DA9015407D_13</vt:lpwstr>
  </property>
</Properties>
</file>