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3005"/>
            <w:shd w:val="clear" w:color="auto" w:fill="1F3864"/>
          </w:tcPr>
          <w:p>
            <w:pPr>
              <w:spacing w:before="0" w:after="0" w:line="216" w:lineRule="auto"/>
            </w:pPr>
            <w:r/>
            <w:r>
              <w:rPr>
                <w:rFonts w:ascii="Segoe UI" w:hAnsi="Segoe UI" w:eastAsia="微软雅黑" w:cs="Segoe UI"/>
                <w:sz w:val="16"/>
              </w:rPr>
              <w:t xml:space="preserve"> </w:t>
            </w:r>
          </w:p>
        </w:tc>
        <w:tc>
          <w:tcPr>
            <w:tcW w:type="dxa" w:w="3005"/>
            <w:shd w:val="clear" w:color="auto" w:fill="C04722"/>
          </w:tcPr>
          <w:p>
            <w:pPr>
              <w:spacing w:before="0" w:after="0" w:line="216" w:lineRule="auto"/>
            </w:pPr>
            <w:r/>
            <w:r>
              <w:rPr>
                <w:rFonts w:ascii="Segoe UI" w:hAnsi="Segoe UI" w:eastAsia="微软雅黑" w:cs="Segoe UI"/>
                <w:sz w:val="16"/>
              </w:rPr>
              <w:t xml:space="preserve"> </w:t>
            </w:r>
          </w:p>
        </w:tc>
        <w:tc>
          <w:tcPr>
            <w:tcW w:type="dxa" w:w="3005"/>
            <w:shd w:val="clear" w:color="auto" w:fill="d6922c"/>
          </w:tcPr>
          <w:p>
            <w:pPr>
              <w:spacing w:before="0" w:after="0" w:line="216" w:lineRule="auto"/>
            </w:pPr>
            <w:r/>
            <w:r>
              <w:rPr>
                <w:rFonts w:ascii="Segoe UI" w:hAnsi="Segoe UI" w:eastAsia="微软雅黑" w:cs="Segoe UI"/>
                <w:sz w:val="16"/>
              </w:rPr>
              <w:t xml:space="preserve"> </w:t>
            </w:r>
          </w:p>
        </w:tc>
      </w:tr>
    </w:tbl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120"/>
      </w:pPr>
      <w:r>
        <w:rPr>
          <w:rFonts w:ascii="Segoe UI" w:hAnsi="Segoe UI" w:eastAsia="黑体" w:cs="Segoe UI"/>
          <w:b/>
          <w:color w:val="6B7A8A"/>
          <w:sz w:val="21"/>
        </w:rPr>
        <w:t>交 通 科 技 大 赛   ·   参 赛 方 案 书</w:t>
      </w:r>
    </w:p>
    <w:p>
      <w:pPr>
        <w:spacing w:before="280" w:after="40" w:line="283" w:lineRule="auto"/>
      </w:pPr>
      <w:r>
        <w:rPr>
          <w:rFonts w:ascii="Segoe UI" w:hAnsi="Segoe UI" w:eastAsia="黑体" w:cs="Segoe UI"/>
          <w:b/>
          <w:color w:val="1F3864"/>
          <w:sz w:val="54"/>
        </w:rPr>
        <w:t>L2 / L3 智能驾驶车辆</w:t>
      </w:r>
    </w:p>
    <w:p>
      <w:pPr>
        <w:spacing w:after="200" w:line="293" w:lineRule="auto"/>
      </w:pPr>
      <w:r>
        <w:rPr>
          <w:rFonts w:ascii="Segoe UI" w:hAnsi="Segoe UI" w:eastAsia="黑体" w:cs="Segoe UI"/>
          <w:b/>
          <w:color w:val="1F3864"/>
          <w:sz w:val="44"/>
        </w:rPr>
        <w:t>驾驶人状态检测及提醒预警监测系统</w:t>
      </w:r>
    </w:p>
    <w:p>
      <w:pPr>
        <w:spacing w:before="40" w:after="200"/>
        <w:pBdr>
          <w:bottom w:val="single" w:sz="6" w:space="1" w:color="C04722"/>
        </w:pBdr>
      </w:pPr>
    </w:p>
    <w:p>
      <w:pPr>
        <w:spacing w:after="80"/>
      </w:pPr>
      <w:r>
        <w:rPr>
          <w:rFonts w:ascii="Segoe UI" w:hAnsi="Segoe UI" w:eastAsia="黑体" w:cs="Segoe UI"/>
          <w:b/>
          <w:color w:val="C04722"/>
          <w:sz w:val="28"/>
        </w:rPr>
        <w:t>—— 从「分心检测」到「可接管能力评估」</w:t>
      </w:r>
    </w:p>
    <w:p>
      <w:pPr>
        <w:spacing w:after="520"/>
      </w:pPr>
      <w:r>
        <w:rPr>
          <w:rFonts w:ascii="Segoe UI" w:hAnsi="Segoe UI" w:eastAsia="宋体" w:cs="Segoe UI"/>
          <w:b w:val="0"/>
          <w:color w:val="596674"/>
          <w:sz w:val="23"/>
        </w:rPr>
        <w:t>一套可讲清、可做出、可验证的系统级方案</w:t>
      </w:r>
    </w:p>
    <w:tbl>
      <w:tblPr>
        <w:tblW w:w="8844" w:type="dxa"/>
        <w:jc w:val="center"/>
        <w:tblBorders>
          <w:top w:val="nil"/>
          <w:bottom w:val="nil"/>
          <w:right w:val="nil"/>
          <w:insideH w:val="nil"/>
          <w:insideV w:val="nil"/>
          <w:left w:val="single" w:sz="24" w:space="0" w:color="C04722"/>
        </w:tblBorders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val="clear" w:color="auto" w:fill="F5F1EA"/>
          </w:tcPr>
          <w:p>
            <w:pPr>
              <w:spacing w:before="20" w:after="60" w:line="312" w:lineRule="auto"/>
            </w:pPr>
            <w:r/>
            <w:r>
              <w:rPr>
                <w:rFonts w:ascii="Segoe UI" w:hAnsi="Segoe UI" w:eastAsia="黑体" w:cs="Segoe UI"/>
                <w:b/>
                <w:color w:val="C04722"/>
                <w:sz w:val="21"/>
              </w:rPr>
              <w:t>本方案的核心主张</w:t>
            </w:r>
          </w:p>
          <w:p>
            <w:pPr>
              <w:spacing w:before="0" w:after="20" w:line="341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color w:val="1A202C"/>
                <w:sz w:val="21"/>
              </w:rPr>
              <w:t>不要回答「驾驶员是否分心」，要回答「驾驶员还来不来得及接管」。前者是一个识别问题，后者是一个决策问题；L3 的工程价值全部落在后者身上。我们把这句话拆成了三件可交付的东西：一个连续量（可接管度 DTR）、一个时间判据（接管时间预算 T_est 与 T_avail 的比较）、一个分级处置策略（L0–L3，直至最小风险状态 MRM）。</w:t>
            </w:r>
          </w:p>
        </w:tc>
      </w:tr>
    </w:tbl>
    <w:p>
      <w:pPr>
        <w:spacing w:before="0" w:after="80" w:line="144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tbl>
      <w:tblPr>
        <w:tblW w:w="8617" w:type="dxa"/>
        <w:jc w:val="center"/>
        <w:tblBorders>
          <w:top w:val="single" w:sz="4" w:space="0" w:color="DDE4EC"/>
          <w:left w:val="single" w:sz="4" w:space="0" w:color="DDE4EC"/>
          <w:bottom w:val="single" w:sz="4" w:space="0" w:color="DDE4EC"/>
          <w:right w:val="single" w:sz="4" w:space="0" w:color="DDE4EC"/>
          <w:insideH w:val="single" w:sz="4" w:space="0" w:color="DDE4EC"/>
          <w:insideV w:val="single" w:sz="4" w:space="0" w:color="DDE4EC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firstColumn="1" w:firstRow="1" w:lastColumn="0" w:lastRow="0" w:noHBand="0" w:noVBand="1" w:val="04A0"/>
      </w:tblPr>
      <w:tblGrid>
        <w:gridCol w:w="1814"/>
        <w:gridCol w:w="6803"/>
      </w:tblGrid>
      <w:tr>
        <w:trPr>
          <w:cantSplit/>
        </w:trPr>
        <w:tc>
          <w:tcPr>
            <w:tcW w:type="dxa" w:w="1814"/>
          </w:tcPr>
          <w:p>
            <w:pPr>
              <w:spacing w:before="60" w:after="60"/>
            </w:pPr>
            <w:r/>
            <w:r>
              <w:rPr>
                <w:rFonts w:ascii="Segoe UI" w:hAnsi="Segoe UI" w:eastAsia="黑体" w:cs="Segoe UI"/>
                <w:b/>
                <w:color w:val="1F3864"/>
                <w:sz w:val="19"/>
              </w:rPr>
              <w:t>选题方向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9"/>
              </w:rPr>
              <w:t>L2/L3 智能驾驶车辆驾驶人状态检测及提醒预警监测系统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/>
            </w:pPr>
            <w:r/>
            <w:r>
              <w:rPr>
                <w:rFonts w:ascii="Segoe UI" w:hAnsi="Segoe UI" w:eastAsia="黑体" w:cs="Segoe UI"/>
                <w:b/>
                <w:color w:val="1F3864"/>
                <w:sz w:val="19"/>
              </w:rPr>
              <w:t>方案定位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9"/>
              </w:rPr>
              <w:t>参赛方案书 · 组内讨论稿 v1.0（含实物与仿真两条实现路径）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/>
            </w:pPr>
            <w:r/>
            <w:r>
              <w:rPr>
                <w:rFonts w:ascii="Segoe UI" w:hAnsi="Segoe UI" w:eastAsia="黑体" w:cs="Segoe UI"/>
                <w:b/>
                <w:color w:val="1F3864"/>
                <w:sz w:val="19"/>
              </w:rPr>
              <w:t>实物投入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9"/>
              </w:rPr>
              <w:t>车载原型 BOM 约 3 300 元；模拟器台架可借用实验室资产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60" w:after="60"/>
            </w:pPr>
            <w:r/>
            <w:r>
              <w:rPr>
                <w:rFonts w:ascii="Segoe UI" w:hAnsi="Segoe UI" w:eastAsia="黑体" w:cs="Segoe UI"/>
                <w:b/>
                <w:color w:val="1F3864"/>
                <w:sz w:val="19"/>
              </w:rPr>
              <w:t>文档用途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9"/>
              </w:rPr>
              <w:t>组内选题讨论 / 指导教师评审 / 答辩讲稿与素材底稿</w:t>
            </w:r>
          </w:p>
        </w:tc>
      </w:tr>
    </w:tbl>
    <w:p>
      <w:pPr>
        <w:spacing w:before="0" w:after="0" w:line="240" w:lineRule="auto"/>
      </w:pPr>
      <w:r>
        <w:br w:type="page"/>
      </w:r>
    </w:p>
    <w:p>
      <w:pPr>
        <w:pStyle w:val="Heading1"/>
        <w:keepNext/>
        <w:spacing w:before="400" w:after="200" w:line="288" w:lineRule="auto"/>
        <w:pBdr>
          <w:bottom w:val="single" w:sz="12" w:space="4" w:color="1F3864"/>
        </w:pBdr>
      </w:pPr>
      <w:r>
        <w:rPr>
          <w:rFonts w:ascii="Segoe UI" w:hAnsi="Segoe UI" w:eastAsia="黑体" w:cs="Segoe UI"/>
          <w:b/>
          <w:color w:val="1F3864"/>
          <w:sz w:val="38"/>
        </w:rPr>
        <w:t>摘　要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L2 与 L3 之间存在一个常被忽略的本质差异：L2 的责任主体始终是人，系统只是“辅助”；L3 在 ODD（运行设计条件）内把责任交给系统，但 ODD 边界一旦到来，人必须在有限的时间窗内重新接管。这个“有限时间窗”才是本题目的技术核心，而市面上绝大多数参赛作品把它简化成了“驾驶员是否分心”的二分类识别。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本方案提出把“驾驶员分心检测”升级为“驾驶员可接管能力评估”：以注意力（A）、唤醒度（V）、操作就绪度（M）三个可独立观测、可独立失效的维度解耦驾驶员状态，融合视觉、生理、操控与车辆四路信号，输出连续的可接管度 DTR（0–1，附带不确定度 u）；再进一步估计驾驶员所需接管时间 T_est，与系统可维持时间 T_avail 比较，据此做出分级预警与干预决策（L0 静默 → L1 提示 → L2 强预警 → L3 接管请求 / 最小风险策略 MRM）。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硬件侧以 RK3588 为核心构建成本约 3 300 元的车载原型：RGB 与 850 nm 红外双模视觉、方向盘电容握持检测、心率与体压采集、OBD-II / CAN 车辆信号接入，以及语音、灯环、方向盘振动、座椅振动四类预警通道。验证侧建立“算法级—系统级—硬件在环”三层体系：公开数据集做基线，CARLA 复现隧道逆光、夜间、突发切入等危险场景，再由 20–30 名被试在模拟座舱上完成接管实验，标定 T_est 与分级阈值。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方案的价值不在于把识别精度再提高一个百分点（那是数据集竞赛的赛道），而在于把“看不看路”这个识别问题，改写成“还来不来得及接管”这个可决策、可验证、可分级处置的工程问题。这条差异在答辩现场是可演示的：遮住摄像头，系统依然能给出可接管度并降级告警。</w:t>
      </w:r>
    </w:p>
    <w:p>
      <w:pPr>
        <w:spacing w:before="240" w:after="80"/>
      </w:pPr>
      <w:r>
        <w:rPr>
          <w:rFonts w:ascii="Segoe UI" w:hAnsi="Segoe UI" w:eastAsia="黑体" w:cs="Segoe UI"/>
          <w:b/>
          <w:color w:val="1F3864"/>
          <w:sz w:val="21"/>
        </w:rPr>
        <w:t>关键词：</w:t>
      </w:r>
      <w:r>
        <w:rPr>
          <w:rFonts w:ascii="Segoe UI" w:hAnsi="Segoe UI" w:eastAsia="宋体" w:cs="Segoe UI"/>
          <w:b w:val="0"/>
          <w:color w:val="1A202C"/>
          <w:sz w:val="21"/>
        </w:rPr>
        <w:t>智能驾驶；驾驶人状态监测；可接管度；接管时间预算；多模态融合；分级预警；硬件在环</w:t>
      </w:r>
    </w:p>
    <w:p>
      <w:pPr>
        <w:spacing w:before="360" w:after="120"/>
      </w:pPr>
      <w:r>
        <w:rPr>
          <w:rFonts w:ascii="Segoe UI" w:hAnsi="Segoe UI" w:eastAsia="黑体" w:cs="Segoe UI"/>
          <w:b/>
          <w:color w:val="1F3864"/>
          <w:sz w:val="24"/>
        </w:rPr>
        <w:t>方案关键指标一览</w:t>
      </w:r>
    </w:p>
    <w:tbl>
      <w:tblPr>
        <w:tblW w:w="8844" w:type="dxa"/>
        <w:jc w:val="center"/>
        <w:tblBorders>
          <w:top w:val="single" w:sz="4" w:space="0" w:color="F7F3EE"/>
          <w:left w:val="single" w:sz="4" w:space="0" w:color="F7F3EE"/>
          <w:bottom w:val="single" w:sz="4" w:space="0" w:color="F7F3EE"/>
          <w:right w:val="single" w:sz="4" w:space="0" w:color="F7F3EE"/>
          <w:insideH w:val="single" w:sz="4" w:space="0" w:color="F7F3EE"/>
          <w:insideV w:val="single" w:sz="4" w:space="0" w:color="F7F3EE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shd w:val="clear" w:color="auto" w:fill="F7F3EE"/>
          </w:tcPr>
          <w:p>
            <w:pPr>
              <w:spacing w:before="120" w:after="20"/>
              <w:jc w:val="center"/>
            </w:pPr>
            <w:r/>
            <w:r>
              <w:rPr>
                <w:rFonts w:ascii="Segoe UI" w:hAnsi="Segoe UI" w:eastAsia="黑体" w:cs="Segoe UI"/>
                <w:b/>
                <w:color w:val="C04722"/>
                <w:sz w:val="30"/>
              </w:rPr>
              <w:t>≈ 3 300 元</w:t>
            </w:r>
          </w:p>
        </w:tc>
        <w:tc>
          <w:tcPr>
            <w:tcW w:type="dxa" w:w="2211"/>
            <w:shd w:val="clear" w:color="auto" w:fill="F7F3EE"/>
          </w:tcPr>
          <w:p>
            <w:pPr>
              <w:spacing w:before="120" w:after="20"/>
              <w:jc w:val="center"/>
            </w:pPr>
            <w:r/>
            <w:r>
              <w:rPr>
                <w:rFonts w:ascii="Segoe UI" w:hAnsi="Segoe UI" w:eastAsia="黑体" w:cs="Segoe UI"/>
                <w:b/>
                <w:color w:val="C04722"/>
                <w:sz w:val="30"/>
              </w:rPr>
              <w:t>&lt; 120 ms</w:t>
            </w:r>
          </w:p>
        </w:tc>
        <w:tc>
          <w:tcPr>
            <w:tcW w:type="dxa" w:w="2211"/>
            <w:shd w:val="clear" w:color="auto" w:fill="F7F3EE"/>
          </w:tcPr>
          <w:p>
            <w:pPr>
              <w:spacing w:before="120" w:after="20"/>
              <w:jc w:val="center"/>
            </w:pPr>
            <w:r/>
            <w:r>
              <w:rPr>
                <w:rFonts w:ascii="Segoe UI" w:hAnsi="Segoe UI" w:eastAsia="黑体" w:cs="Segoe UI"/>
                <w:b/>
                <w:color w:val="C04722"/>
                <w:sz w:val="30"/>
              </w:rPr>
              <w:t>0 – 1</w:t>
            </w:r>
          </w:p>
        </w:tc>
        <w:tc>
          <w:tcPr>
            <w:tcW w:type="dxa" w:w="2211"/>
            <w:shd w:val="clear" w:color="auto" w:fill="F7F3EE"/>
          </w:tcPr>
          <w:p>
            <w:pPr>
              <w:spacing w:before="120" w:after="20"/>
              <w:jc w:val="center"/>
            </w:pPr>
            <w:r/>
            <w:r>
              <w:rPr>
                <w:rFonts w:ascii="Segoe UI" w:hAnsi="Segoe UI" w:eastAsia="黑体" w:cs="Segoe UI"/>
                <w:b/>
                <w:color w:val="C04722"/>
                <w:sz w:val="30"/>
              </w:rPr>
              <w:t>20 – 30 人</w:t>
            </w:r>
          </w:p>
        </w:tc>
      </w:tr>
      <w:tr>
        <w:tc>
          <w:tcPr>
            <w:tcW w:type="dxa" w:w="2211"/>
            <w:shd w:val="clear" w:color="auto" w:fill="F7F3EE"/>
          </w:tcPr>
          <w:p>
            <w:pPr>
              <w:spacing w:before="20" w:after="120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596674"/>
                <w:sz w:val="17"/>
              </w:rPr>
              <w:t>车载原型 BOM 合计</w:t>
            </w:r>
          </w:p>
        </w:tc>
        <w:tc>
          <w:tcPr>
            <w:tcW w:type="dxa" w:w="2211"/>
            <w:shd w:val="clear" w:color="auto" w:fill="F7F3EE"/>
          </w:tcPr>
          <w:p>
            <w:pPr>
              <w:spacing w:before="20" w:after="120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596674"/>
                <w:sz w:val="17"/>
              </w:rPr>
              <w:t>端到端处理时延</w:t>
            </w:r>
          </w:p>
        </w:tc>
        <w:tc>
          <w:tcPr>
            <w:tcW w:type="dxa" w:w="2211"/>
            <w:shd w:val="clear" w:color="auto" w:fill="F7F3EE"/>
          </w:tcPr>
          <w:p>
            <w:pPr>
              <w:spacing w:before="20" w:after="120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596674"/>
                <w:sz w:val="17"/>
              </w:rPr>
              <w:t>可接管度 DTR 输出区间</w:t>
            </w:r>
          </w:p>
        </w:tc>
        <w:tc>
          <w:tcPr>
            <w:tcW w:type="dxa" w:w="2211"/>
            <w:shd w:val="clear" w:color="auto" w:fill="F7F3EE"/>
          </w:tcPr>
          <w:p>
            <w:pPr>
              <w:spacing w:before="20" w:after="120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596674"/>
                <w:sz w:val="17"/>
              </w:rPr>
              <w:t>接管实验被试规模</w:t>
            </w:r>
          </w:p>
        </w:tc>
      </w:tr>
    </w:tbl>
    <w:p>
      <w:pPr>
        <w:spacing w:before="400" w:after="120"/>
      </w:pPr>
      <w:r>
        <w:rPr>
          <w:rFonts w:ascii="Segoe UI" w:hAnsi="Segoe UI" w:eastAsia="黑体" w:cs="Segoe UI"/>
          <w:b/>
          <w:color w:val="1F3864"/>
          <w:sz w:val="24"/>
        </w:rPr>
        <w:t>全文结构与阅读指引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1   目录与阅读指引</w:t>
      </w:r>
    </w:p>
    <w:tbl>
      <w:tblPr>
        <w:tblStyle w:val="TableGrid"/>
        <w:tblW w:w="8957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964"/>
        <w:gridCol w:w="2608"/>
        <w:gridCol w:w="4535"/>
        <w:gridCol w:w="850"/>
      </w:tblGrid>
      <w:tr>
        <w:trPr>
          <w:cantSplit/>
          <w:tblHeader w:val="true"/>
        </w:trPr>
        <w:tc>
          <w:tcPr>
            <w:tcW w:type="dxa" w:w="96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260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标题</w:t>
            </w:r>
          </w:p>
        </w:tc>
        <w:tc>
          <w:tcPr>
            <w:tcW w:type="dxa" w:w="4535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850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页码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第一章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选题背景与问题界定</w:t>
            </w:r>
          </w:p>
        </w:tc>
        <w:tc>
          <w:tcPr>
            <w:tcW w:type="dxa" w:w="45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这个题目真正要解的是什么；标准法规卡在哪</w:t>
            </w:r>
          </w:p>
        </w:tc>
        <w:tc>
          <w:tcPr>
            <w:tcW w:type="dxa" w:w="850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第二章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现有方案的局限性</w:t>
            </w:r>
          </w:p>
        </w:tc>
        <w:tc>
          <w:tcPr>
            <w:tcW w:type="dxa" w:w="45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六条硬伤，以及同质化竞争下的破局点</w:t>
            </w:r>
          </w:p>
        </w:tc>
        <w:tc>
          <w:tcPr>
            <w:tcW w:type="dxa" w:w="850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第三章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总体思路与创新点</w:t>
            </w:r>
          </w:p>
        </w:tc>
        <w:tc>
          <w:tcPr>
            <w:tcW w:type="dxa" w:w="45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六个创新点，每个都对应一条局限</w:t>
            </w:r>
          </w:p>
        </w:tc>
        <w:tc>
          <w:tcPr>
            <w:tcW w:type="dxa" w:w="850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第四章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实物系统设计</w:t>
            </w:r>
          </w:p>
        </w:tc>
        <w:tc>
          <w:tcPr>
            <w:tcW w:type="dxa" w:w="45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买什么零件、做成什么、怎么演示</w:t>
            </w:r>
          </w:p>
        </w:tc>
        <w:tc>
          <w:tcPr>
            <w:tcW w:type="dxa" w:w="850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第五章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仿真与验证方案</w:t>
            </w:r>
          </w:p>
        </w:tc>
        <w:tc>
          <w:tcPr>
            <w:tcW w:type="dxa" w:w="45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三层验证体系与实验设计</w:t>
            </w:r>
          </w:p>
        </w:tc>
        <w:tc>
          <w:tcPr>
            <w:tcW w:type="dxa" w:w="850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21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第六章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参赛策略与答辩设计</w:t>
            </w:r>
          </w:p>
        </w:tc>
        <w:tc>
          <w:tcPr>
            <w:tcW w:type="dxa" w:w="45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讲稿骨架、12 个追问、风险预案</w:t>
            </w:r>
          </w:p>
        </w:tc>
        <w:tc>
          <w:tcPr>
            <w:tcW w:type="dxa" w:w="850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26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第七章</w:t>
            </w:r>
          </w:p>
        </w:tc>
        <w:tc>
          <w:tcPr>
            <w:tcW w:type="dxa" w:w="2608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预期成果与可行性</w:t>
            </w:r>
          </w:p>
        </w:tc>
        <w:tc>
          <w:tcPr>
            <w:tcW w:type="dxa" w:w="4535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能交出的东西与推广路径</w:t>
            </w:r>
          </w:p>
        </w:tc>
        <w:tc>
          <w:tcPr>
            <w:tcW w:type="dxa" w:w="850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30</w:t>
            </w:r>
          </w:p>
        </w:tc>
      </w:tr>
    </w:tbl>
    <w:p>
      <w:pPr>
        <w:spacing w:before="0" w:after="0" w:line="144" w:lineRule="auto"/>
      </w:pPr>
    </w:p>
    <w:tbl>
      <w:tblPr>
        <w:tblW w:w="8844" w:type="dxa"/>
        <w:jc w:val="center"/>
        <w:tblBorders>
          <w:top w:val="nil"/>
          <w:bottom w:val="nil"/>
          <w:right w:val="nil"/>
          <w:insideH w:val="nil"/>
          <w:insideV w:val="nil"/>
          <w:left w:val="single" w:sz="24" w:space="0" w:color="C04722"/>
        </w:tblBorders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val="clear" w:color="auto" w:fill="F5F1EA"/>
          </w:tcPr>
          <w:p>
            <w:pPr>
              <w:spacing w:before="20" w:after="60" w:line="312" w:lineRule="auto"/>
            </w:pPr>
            <w:r/>
            <w:r>
              <w:rPr>
                <w:rFonts w:ascii="Segoe UI" w:hAnsi="Segoe UI" w:eastAsia="黑体" w:cs="Segoe UI"/>
                <w:b/>
                <w:color w:val="C04722"/>
                <w:sz w:val="21"/>
              </w:rPr>
              <w:t>怎么用这份材料</w:t>
            </w:r>
          </w:p>
          <w:p>
            <w:pPr>
              <w:spacing w:before="0" w:after="20" w:line="341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color w:val="1A202C"/>
                <w:sz w:val="21"/>
              </w:rPr>
              <w:t>开讨论会时，只需看第二章（为什么别人做不好）、第三章第一张图（我们要怎么做）和第四章的 BOM（要花多少钱、买什么）；写申报书时，材料与图表可直接按章取用，编号已经连续排好；准备答辩时，第六章的讲稿骨架、十二个追问与现场演示脚本可以单独抽出来做成提词卡。</w:t>
            </w:r>
          </w:p>
        </w:tc>
      </w:tr>
    </w:tbl>
    <w:p>
      <w:pPr>
        <w:spacing w:before="0" w:after="80" w:line="144" w:lineRule="auto"/>
      </w:pPr>
    </w:p>
    <w:p>
      <w:pPr>
        <w:spacing w:before="0" w:after="0" w:line="240" w:lineRule="auto"/>
      </w:pPr>
      <w:r>
        <w:br w:type="page"/>
      </w:r>
    </w:p>
    <w:p>
      <w:pPr>
        <w:pStyle w:val="Heading1"/>
        <w:keepNext/>
        <w:spacing w:before="400" w:after="200" w:line="288" w:lineRule="auto"/>
        <w:pBdr>
          <w:bottom w:val="single" w:sz="12" w:space="4" w:color="1F3864"/>
        </w:pBdr>
      </w:pPr>
      <w:r>
        <w:rPr>
          <w:rFonts w:ascii="Segoe UI" w:hAnsi="Segoe UI" w:eastAsia="黑体" w:cs="Segoe UI"/>
          <w:b/>
          <w:color w:val="1F3864"/>
          <w:sz w:val="38"/>
        </w:rPr>
        <w:t>第一章</w:t>
      </w:r>
      <w:r>
        <w:rPr>
          <w:rFonts w:ascii="Segoe UI" w:hAnsi="Segoe UI" w:eastAsia="黑体" w:cs="Segoe UI"/>
          <w:b/>
          <w:color w:val="1F3864"/>
          <w:sz w:val="34"/>
        </w:rPr>
        <w:t xml:space="preserve">  选题背景与问题界定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1.1</w:t>
      </w:r>
      <w:r>
        <w:rPr>
          <w:rFonts w:ascii="Segoe UI" w:hAnsi="Segoe UI" w:eastAsia="黑体" w:cs="Segoe UI"/>
          <w:b/>
          <w:color w:val="1F3864"/>
          <w:sz w:val="26"/>
        </w:rPr>
        <w:t xml:space="preserve">  为什么现在做这件事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2021 年发布的《汽车驾驶自动化分级》（GB/T 40429-2021）把 0–5 级的责任边界讲清楚了，但真正让“驾驶员监测”从加分项变成准入项的，是 2023 年以来智能网联汽车准入试点与L3 上路通行的政策推进。行业里有一句被反复引用的判断：自动化的等级越高，对人的“在环质量”要求反而越苛刻——因为留给人的时间越短。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就带来一个尴尬的现状：整条产业链都在做“驾驶员监测系统”（DMS），但绝大多数产品的输出是「疲劳/分心」的告警，而不是「还能不能接管」的判断。两者之间隔着一道语义鸿沟——前者描述状态，后者支撑决策。</w:t>
      </w:r>
    </w:p>
    <w:tbl>
      <w:tblPr>
        <w:tblW w:w="8844" w:type="dxa"/>
        <w:jc w:val="center"/>
        <w:tblBorders>
          <w:top w:val="nil"/>
          <w:bottom w:val="nil"/>
          <w:right w:val="nil"/>
          <w:insideH w:val="nil"/>
          <w:insideV w:val="nil"/>
          <w:left w:val="single" w:sz="24" w:space="0" w:color="1F3864"/>
        </w:tblBorders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val="clear" w:color="auto" w:fill="F2F6FB"/>
          </w:tcPr>
          <w:p>
            <w:pPr>
              <w:spacing w:before="20" w:after="60" w:line="312" w:lineRule="auto"/>
            </w:pPr>
            <w:r/>
            <w:r>
              <w:rPr>
                <w:rFonts w:ascii="Segoe UI" w:hAnsi="Segoe UI" w:eastAsia="黑体" w:cs="Segoe UI"/>
                <w:b/>
                <w:color w:val="1F3864"/>
                <w:sz w:val="21"/>
              </w:rPr>
              <w:t>本题目的技术核心</w:t>
            </w:r>
          </w:p>
          <w:p>
            <w:pPr>
              <w:spacing w:before="0" w:after="20" w:line="341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color w:val="1A202C"/>
                <w:sz w:val="21"/>
              </w:rPr>
              <w:t>L2/L3 的分界线不是“手要不要放在方向盘上”，而是“人对系统失效的响应时间是否在预算内”。因此，一个有价值的监测系统必须同时回答三个问题：（1）驾驶员现在处于什么状态？（2）从当前状态恢复到有效接管需要多久？（3）系统还能给他多久？—— 三个问题里，现有方案往往只回答了第一个，而且答得很粗。</w:t>
            </w:r>
          </w:p>
        </w:tc>
      </w:tr>
    </w:tbl>
    <w:p>
      <w:pPr>
        <w:spacing w:before="0" w:after="80" w:line="144" w:lineRule="auto"/>
      </w:pP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1.2</w:t>
      </w:r>
      <w:r>
        <w:rPr>
          <w:rFonts w:ascii="Segoe UI" w:hAnsi="Segoe UI" w:eastAsia="黑体" w:cs="Segoe UI"/>
          <w:b/>
          <w:color w:val="1F3864"/>
          <w:sz w:val="26"/>
        </w:rPr>
        <w:t xml:space="preserve">  三类典型失效模式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比起笼统地说“分心导致事故”，把失效模式拆开讲更有说服力。在与本题目相关的公开研究与事故调查中，人机共驾阶段的失效大体可以归为三类，它们的成因、可观测信号和干预手段完全不同：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2"/>
        </w:rPr>
        <w:t xml:space="preserve">1. 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注意力游离：看手机、调中控屏、与乘客交谈。此时唤醒度可能很高（人很清醒），但视觉通道被占用。可观测信号是视线离路角、注视区占比、单次离路时长；干预手段是“把注意力拉回来”。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2"/>
        </w:rPr>
        <w:t xml:space="preserve">2. 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唤醒水平下降：长途、夜间、餐后、单调路况。此时注意力可能“看起来”没问题（头朝前），但微睡眠导致反应时间从 0.8 s 量级跃升到 3 s 以上。可观测信号是 PERCLOS、眨眼频率、最长闭眼时长、心率变异性；干预手段是“唤醒”。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2"/>
        </w:rPr>
        <w:t xml:space="preserve">3. 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操作脱离：手离开方向盘、脚不在踏板上、身体后仰或侧倾。此时人可能完全清醒、也看到了接管请求，但把手脚挪到位本身需要 1–2 s。可观测信号是手在环时长、手离盘距离、躯干姿态；干预手段是“预留时间或提前降级”。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这三类失效叠加时，接管时间就不再等于“反应时间”，而是“反应时间 + 姿态恢复时间 + 情境重建时间”。第二部分和第三部分，恰恰是只做视觉分心识别的方案覆盖不到的地方。这也是本方案把状态拆成三个维度的直接动因。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1.3</w:t>
      </w:r>
      <w:r>
        <w:rPr>
          <w:rFonts w:ascii="Segoe UI" w:hAnsi="Segoe UI" w:eastAsia="黑体" w:cs="Segoe UI"/>
          <w:b/>
          <w:color w:val="1F3864"/>
          <w:sz w:val="26"/>
        </w:rPr>
        <w:t xml:space="preserve">  标准与法规划出的硬约束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参赛方案如果不与标准对齐，很容易被评委问成“自娱自乐”。下表列出与本题目直接相关的文件及其对应设计，这也是答辩时证明“我们不是拍脑袋”的第一层证据。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2   相关标准法规与本方案的对应关系</w:t>
      </w:r>
    </w:p>
    <w:tbl>
      <w:tblPr>
        <w:tblStyle w:val="TableGrid"/>
        <w:tblW w:w="9014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098"/>
        <w:gridCol w:w="2948"/>
        <w:gridCol w:w="3969"/>
      </w:tblGrid>
      <w:tr>
        <w:trPr>
          <w:cantSplit/>
          <w:tblHeader w:val="true"/>
        </w:trPr>
        <w:tc>
          <w:tcPr>
            <w:tcW w:type="dxa" w:w="209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文件 / 依据</w:t>
            </w:r>
          </w:p>
        </w:tc>
        <w:tc>
          <w:tcPr>
            <w:tcW w:type="dxa" w:w="294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与本方案的关系</w:t>
            </w:r>
          </w:p>
        </w:tc>
        <w:tc>
          <w:tcPr>
            <w:tcW w:type="dxa" w:w="3969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本方案的对应设计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GB/T 40429-2021</w:t>
              <w:br/>
              <w:t>汽车驾驶自动化分级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界定 L2 与 L3 的责任主体差异</w:t>
            </w:r>
          </w:p>
        </w:tc>
        <w:tc>
          <w:tcPr>
            <w:tcW w:type="dxa" w:w="3969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按 L2 / L3 两套处置逻辑分别设计：L2 以“提醒回环”为主，L3 以“接管请求 + MRM”为主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GB/T 41797-2022</w:t>
              <w:br/>
              <w:t>驾驶员注意力监测系统</w:t>
              <w:br/>
              <w:t>性能要求及试验方法</w:t>
            </w:r>
          </w:p>
        </w:tc>
        <w:tc>
          <w:tcPr>
            <w:tcW w:type="dxa" w:w="294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规定注意力监测的性能指标与试验流程</w:t>
            </w:r>
          </w:p>
        </w:tc>
        <w:tc>
          <w:tcPr>
            <w:tcW w:type="dxa" w:w="3969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指标定义（准确率、误报率、检测时延）与试验流程与之对齐，便于横向比较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UN R157（ALKS）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L3 系统须发出接管请求（TOR）并在过渡期后执行 MRM</w:t>
            </w:r>
          </w:p>
        </w:tc>
        <w:tc>
          <w:tcPr>
            <w:tcW w:type="dxa" w:w="3969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以过渡期时间量级建模 T_avail，并把 T_est 与 T_avail 的比较作为核心判据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ISO 21448（SOTIF）</w:t>
            </w:r>
          </w:p>
        </w:tc>
        <w:tc>
          <w:tcPr>
            <w:tcW w:type="dxa" w:w="294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预期功能安全，覆盖人机共驾中的误用与可预见误操作</w:t>
            </w:r>
          </w:p>
        </w:tc>
        <w:tc>
          <w:tcPr>
            <w:tcW w:type="dxa" w:w="3969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分级预警、2 s 回滞防抖、置信度不足时转保守策略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ISO 26262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功能安全，要求单点失效不导致安全目标失守</w:t>
            </w:r>
          </w:p>
        </w:tc>
        <w:tc>
          <w:tcPr>
            <w:tcW w:type="dxa" w:w="3969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预警通道冗余设计：任一声/光/振通道失效，仍有 ≥2 个通道可完成告警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Euro NCAP 驾驶员监测评价导向</w:t>
            </w:r>
          </w:p>
        </w:tc>
        <w:tc>
          <w:tcPr>
            <w:tcW w:type="dxa" w:w="2948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把误报率与个体适应性纳入评价</w:t>
            </w:r>
          </w:p>
        </w:tc>
        <w:tc>
          <w:tcPr>
            <w:tcW w:type="dxa" w:w="3969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把误报率（FPR）列为与准确率同等重要的一等指标</w:t>
            </w:r>
          </w:p>
        </w:tc>
      </w:tr>
    </w:tbl>
    <w:p>
      <w:pPr>
        <w:spacing w:before="0" w:after="0" w:line="144" w:lineRule="auto"/>
      </w:pPr>
    </w:p>
    <w:p>
      <w:pPr>
        <w:spacing w:before="40" w:after="160"/>
        <w:jc w:val="left"/>
      </w:pPr>
      <w:r>
        <w:rPr>
          <w:rFonts w:ascii="Segoe UI" w:hAnsi="Segoe UI" w:eastAsia="宋体" w:cs="Segoe UI"/>
          <w:b w:val="0"/>
          <w:color w:val="596674"/>
          <w:sz w:val="17"/>
        </w:rPr>
        <w:t>注：以上标准编号与条款以答辩前最新有效版本为准，正式提交前须逐条核对原文表述。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1.4</w:t>
      </w:r>
      <w:r>
        <w:rPr>
          <w:rFonts w:ascii="Segoe UI" w:hAnsi="Segoe UI" w:eastAsia="黑体" w:cs="Segoe UI"/>
          <w:b/>
          <w:color w:val="1F3864"/>
          <w:sz w:val="26"/>
        </w:rPr>
        <w:t xml:space="preserve">  问题边界：我们做什么，不做什么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参赛方案最容易失分的地方不是“做得少”，而是“说不清边界”。一个清晰的边界既能挡住“这不现实”的质疑，也能让评审相信团队真的想过工程实现。</w:t>
      </w:r>
    </w:p>
    <w:tbl>
      <w:tblPr>
        <w:tblW w:w="8731" w:type="dxa"/>
        <w:jc w:val="center"/>
        <w:tblBorders>
          <w:top w:val="single" w:sz="4" w:space="0" w:color="DCE3EC"/>
          <w:left w:val="single" w:sz="4" w:space="0" w:color="DCE3EC"/>
          <w:bottom w:val="single" w:sz="4" w:space="0" w:color="DCE3EC"/>
          <w:right w:val="single" w:sz="4" w:space="0" w:color="DCE3EC"/>
          <w:insideH w:val="single" w:sz="4" w:space="0" w:color="DCE3EC"/>
          <w:insideV w:val="single" w:sz="4" w:space="0" w:color="DCE3EC"/>
        </w:tblBorders>
        <w:tblLayout w:type="fixed"/>
        <w:tblCellMar>
          <w:top w:w="150" w:type="dxa"/>
          <w:left w:w="190" w:type="dxa"/>
          <w:bottom w:w="150" w:type="dxa"/>
          <w:right w:w="190" w:type="dxa"/>
        </w:tblCellMar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  <w:shd w:val="clear" w:color="auto" w:fill="F3F7FB"/>
          </w:tcPr>
          <w:p>
            <w:pPr>
              <w:spacing w:before="0" w:after="120" w:line="288" w:lineRule="auto"/>
            </w:pPr>
            <w:r/>
            <w:r>
              <w:rPr>
                <w:rFonts w:ascii="Segoe UI" w:hAnsi="Segoe UI" w:eastAsia="黑体" w:cs="Segoe UI"/>
                <w:b/>
                <w:color w:val="1F3864"/>
                <w:sz w:val="21"/>
              </w:rPr>
              <w:t>范围内 · 我们做</w:t>
            </w:r>
          </w:p>
          <w:p>
            <w:pPr>
              <w:spacing w:before="0" w:after="60" w:line="348" w:lineRule="auto"/>
              <w:ind w:left="283" w:hanging="283"/>
              <w:jc w:val="left"/>
            </w:pPr>
            <w:r>
              <w:rPr>
                <w:rFonts w:ascii="Segoe UI" w:hAnsi="Segoe UI" w:eastAsia="微软雅黑" w:cs="Segoe UI"/>
                <w:b/>
                <w:color w:val="1F3864"/>
                <w:sz w:val="19"/>
              </w:rPr>
              <w:t xml:space="preserve">·  </w:t>
            </w:r>
            <w:r>
              <w:rPr>
                <w:rFonts w:ascii="Times New Roman" w:hAnsi="Times New Roman" w:eastAsia="宋体" w:cs="Times New Roman"/>
                <w:b w:val="0"/>
                <w:color w:val="1A202C"/>
                <w:sz w:val="19"/>
              </w:rPr>
              <w:t>驾驶员状态的多模态感知与三维解耦</w:t>
            </w:r>
          </w:p>
          <w:p>
            <w:pPr>
              <w:spacing w:before="0" w:after="60" w:line="348" w:lineRule="auto"/>
              <w:ind w:left="283" w:hanging="283"/>
              <w:jc w:val="left"/>
            </w:pPr>
            <w:r>
              <w:rPr>
                <w:rFonts w:ascii="Segoe UI" w:hAnsi="Segoe UI" w:eastAsia="微软雅黑" w:cs="Segoe UI"/>
                <w:b/>
                <w:color w:val="1F3864"/>
                <w:sz w:val="19"/>
              </w:rPr>
              <w:t xml:space="preserve">·  </w:t>
            </w:r>
            <w:r>
              <w:rPr>
                <w:rFonts w:ascii="Times New Roman" w:hAnsi="Times New Roman" w:eastAsia="宋体" w:cs="Times New Roman"/>
                <w:b w:val="0"/>
                <w:color w:val="1A202C"/>
                <w:sz w:val="19"/>
              </w:rPr>
              <w:t>可接管度 DTR 与不确定度 u 的估计</w:t>
            </w:r>
          </w:p>
          <w:p>
            <w:pPr>
              <w:spacing w:before="0" w:after="60" w:line="348" w:lineRule="auto"/>
              <w:ind w:left="283" w:hanging="283"/>
              <w:jc w:val="left"/>
            </w:pPr>
            <w:r>
              <w:rPr>
                <w:rFonts w:ascii="Segoe UI" w:hAnsi="Segoe UI" w:eastAsia="微软雅黑" w:cs="Segoe UI"/>
                <w:b/>
                <w:color w:val="1F3864"/>
                <w:sz w:val="19"/>
              </w:rPr>
              <w:t xml:space="preserve">·  </w:t>
            </w:r>
            <w:r>
              <w:rPr>
                <w:rFonts w:ascii="Times New Roman" w:hAnsi="Times New Roman" w:eastAsia="宋体" w:cs="Times New Roman"/>
                <w:b w:val="0"/>
                <w:color w:val="1A202C"/>
                <w:sz w:val="19"/>
              </w:rPr>
              <w:t>接管时间预算 T_est 的建模与标定</w:t>
            </w:r>
          </w:p>
          <w:p>
            <w:pPr>
              <w:spacing w:before="0" w:after="60" w:line="348" w:lineRule="auto"/>
              <w:ind w:left="283" w:hanging="283"/>
              <w:jc w:val="left"/>
            </w:pPr>
            <w:r>
              <w:rPr>
                <w:rFonts w:ascii="Segoe UI" w:hAnsi="Segoe UI" w:eastAsia="微软雅黑" w:cs="Segoe UI"/>
                <w:b/>
                <w:color w:val="1F3864"/>
                <w:sz w:val="19"/>
              </w:rPr>
              <w:t xml:space="preserve">·  </w:t>
            </w:r>
            <w:r>
              <w:rPr>
                <w:rFonts w:ascii="Times New Roman" w:hAnsi="Times New Roman" w:eastAsia="宋体" w:cs="Times New Roman"/>
                <w:b w:val="0"/>
                <w:color w:val="1A202C"/>
                <w:sz w:val="19"/>
              </w:rPr>
              <w:t>分级预警、接管引导与接管确认的时序设计</w:t>
            </w:r>
          </w:p>
          <w:p>
            <w:pPr>
              <w:spacing w:before="0" w:after="60" w:line="348" w:lineRule="auto"/>
              <w:ind w:left="283" w:hanging="283"/>
              <w:jc w:val="left"/>
            </w:pPr>
            <w:r>
              <w:rPr>
                <w:rFonts w:ascii="Segoe UI" w:hAnsi="Segoe UI" w:eastAsia="微软雅黑" w:cs="Segoe UI"/>
                <w:b/>
                <w:color w:val="1F3864"/>
                <w:sz w:val="19"/>
              </w:rPr>
              <w:t xml:space="preserve">·  </w:t>
            </w:r>
            <w:r>
              <w:rPr>
                <w:rFonts w:ascii="Times New Roman" w:hAnsi="Times New Roman" w:eastAsia="宋体" w:cs="Times New Roman"/>
                <w:b w:val="0"/>
                <w:color w:val="1A202C"/>
                <w:sz w:val="19"/>
              </w:rPr>
              <w:t>车载原型与硬件在环台架的搭建与验证</w:t>
            </w:r>
          </w:p>
        </w:tc>
        <w:tc>
          <w:tcPr>
            <w:tcW w:type="dxa" w:w="4365"/>
            <w:shd w:val="clear" w:color="auto" w:fill="FBF3F0"/>
          </w:tcPr>
          <w:p>
            <w:pPr>
              <w:spacing w:before="0" w:after="120" w:line="288" w:lineRule="auto"/>
            </w:pPr>
            <w:r/>
            <w:r>
              <w:rPr>
                <w:rFonts w:ascii="Segoe UI" w:hAnsi="Segoe UI" w:eastAsia="黑体" w:cs="Segoe UI"/>
                <w:b/>
                <w:color w:val="C04722"/>
                <w:sz w:val="21"/>
              </w:rPr>
              <w:t>范围外 · 我们不做</w:t>
            </w:r>
          </w:p>
          <w:p>
            <w:pPr>
              <w:spacing w:before="0" w:after="60" w:line="348" w:lineRule="auto"/>
              <w:ind w:left="283" w:hanging="283"/>
              <w:jc w:val="left"/>
            </w:pPr>
            <w:r>
              <w:rPr>
                <w:rFonts w:ascii="Segoe UI" w:hAnsi="Segoe UI" w:eastAsia="微软雅黑" w:cs="Segoe UI"/>
                <w:b/>
                <w:color w:val="C04722"/>
                <w:sz w:val="19"/>
              </w:rPr>
              <w:t xml:space="preserve">·  </w:t>
            </w:r>
            <w:r>
              <w:rPr>
                <w:rFonts w:ascii="Times New Roman" w:hAnsi="Times New Roman" w:eastAsia="宋体" w:cs="Times New Roman"/>
                <w:b w:val="0"/>
                <w:color w:val="1A202C"/>
                <w:sz w:val="19"/>
              </w:rPr>
              <w:t>不重做自动驾驶算法（用现成 L2 车型或 CARLA 栈作为被监测对象）</w:t>
            </w:r>
          </w:p>
          <w:p>
            <w:pPr>
              <w:spacing w:before="0" w:after="60" w:line="348" w:lineRule="auto"/>
              <w:ind w:left="283" w:hanging="283"/>
              <w:jc w:val="left"/>
            </w:pPr>
            <w:r>
              <w:rPr>
                <w:rFonts w:ascii="Segoe UI" w:hAnsi="Segoe UI" w:eastAsia="微软雅黑" w:cs="Segoe UI"/>
                <w:b/>
                <w:color w:val="C04722"/>
                <w:sz w:val="19"/>
              </w:rPr>
              <w:t xml:space="preserve">·  </w:t>
            </w:r>
            <w:r>
              <w:rPr>
                <w:rFonts w:ascii="Times New Roman" w:hAnsi="Times New Roman" w:eastAsia="宋体" w:cs="Times New Roman"/>
                <w:b w:val="0"/>
                <w:color w:val="1A202C"/>
                <w:sz w:val="19"/>
              </w:rPr>
              <w:t>不做 DMS 专用芯片或车规 ASIC 设计</w:t>
            </w:r>
          </w:p>
          <w:p>
            <w:pPr>
              <w:spacing w:before="0" w:after="60" w:line="348" w:lineRule="auto"/>
              <w:ind w:left="283" w:hanging="283"/>
              <w:jc w:val="left"/>
            </w:pPr>
            <w:r>
              <w:rPr>
                <w:rFonts w:ascii="Segoe UI" w:hAnsi="Segoe UI" w:eastAsia="微软雅黑" w:cs="Segoe UI"/>
                <w:b/>
                <w:color w:val="C04722"/>
                <w:sz w:val="19"/>
              </w:rPr>
              <w:t xml:space="preserve">·  </w:t>
            </w:r>
            <w:r>
              <w:rPr>
                <w:rFonts w:ascii="Times New Roman" w:hAnsi="Times New Roman" w:eastAsia="宋体" w:cs="Times New Roman"/>
                <w:b w:val="0"/>
                <w:color w:val="1A202C"/>
                <w:sz w:val="19"/>
              </w:rPr>
              <w:t>不宣称达到量产标定水平（原型目标是可演示、可复现、可外推）</w:t>
            </w:r>
          </w:p>
          <w:p>
            <w:pPr>
              <w:spacing w:before="0" w:after="60" w:line="348" w:lineRule="auto"/>
              <w:ind w:left="283" w:hanging="283"/>
              <w:jc w:val="left"/>
            </w:pPr>
            <w:r>
              <w:rPr>
                <w:rFonts w:ascii="Segoe UI" w:hAnsi="Segoe UI" w:eastAsia="微软雅黑" w:cs="Segoe UI"/>
                <w:b/>
                <w:color w:val="C04722"/>
                <w:sz w:val="19"/>
              </w:rPr>
              <w:t xml:space="preserve">·  </w:t>
            </w:r>
            <w:r>
              <w:rPr>
                <w:rFonts w:ascii="Times New Roman" w:hAnsi="Times New Roman" w:eastAsia="宋体" w:cs="Times New Roman"/>
                <w:b w:val="0"/>
                <w:color w:val="1A202C"/>
                <w:sz w:val="19"/>
              </w:rPr>
              <w:t>不做车外人脸识别，也不把视频传云端比对</w:t>
            </w:r>
          </w:p>
          <w:p>
            <w:pPr>
              <w:spacing w:before="0" w:after="60" w:line="348" w:lineRule="auto"/>
              <w:ind w:left="283" w:hanging="283"/>
              <w:jc w:val="left"/>
            </w:pPr>
            <w:r>
              <w:rPr>
                <w:rFonts w:ascii="Segoe UI" w:hAnsi="Segoe UI" w:eastAsia="微软雅黑" w:cs="Segoe UI"/>
                <w:b/>
                <w:color w:val="C04722"/>
                <w:sz w:val="19"/>
              </w:rPr>
              <w:t xml:space="preserve">·  </w:t>
            </w:r>
            <w:r>
              <w:rPr>
                <w:rFonts w:ascii="Times New Roman" w:hAnsi="Times New Roman" w:eastAsia="宋体" w:cs="Times New Roman"/>
                <w:b w:val="0"/>
                <w:color w:val="1A202C"/>
                <w:sz w:val="19"/>
              </w:rPr>
              <w:t>不涉及底盘线控改装，只向整车发减速 / 靠边请求</w:t>
            </w:r>
          </w:p>
        </w:tc>
      </w:tr>
    </w:tbl>
    <w:p>
      <w:pPr>
        <w:spacing w:before="0" w:after="120" w:line="144" w:lineRule="auto"/>
      </w:pP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条边界还有一个隐含好处：它把“我们做不到”的质疑提前变成了“我们本来就不做”。评委再问“你们为什么不做端到端自动驾驶”时，答案是——那不在本题的范围内，我们只负责在系统交还控制权的那几秒钟里，把人看清楚、把时间算准。</w:t>
      </w:r>
    </w:p>
    <w:p>
      <w:pPr>
        <w:pStyle w:val="Heading1"/>
        <w:keepNext/>
        <w:spacing w:before="400" w:after="200" w:line="288" w:lineRule="auto"/>
        <w:pBdr>
          <w:bottom w:val="single" w:sz="12" w:space="4" w:color="1F3864"/>
        </w:pBdr>
      </w:pPr>
      <w:r>
        <w:rPr>
          <w:rFonts w:ascii="Segoe UI" w:hAnsi="Segoe UI" w:eastAsia="黑体" w:cs="Segoe UI"/>
          <w:b/>
          <w:color w:val="1F3864"/>
          <w:sz w:val="38"/>
        </w:rPr>
        <w:t>第二章</w:t>
      </w:r>
      <w:r>
        <w:rPr>
          <w:rFonts w:ascii="Segoe UI" w:hAnsi="Segoe UI" w:eastAsia="黑体" w:cs="Segoe UI"/>
          <w:b/>
          <w:color w:val="1F3864"/>
          <w:sz w:val="34"/>
        </w:rPr>
        <w:t xml:space="preserve">  现有方案的局限性分析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这一章是全部方案的立论基础。选题被很多人选，说明它重要；但同样说明，绝大多数队伍会撞在同一面墙上。把墙指出来，比翻过去更重要。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2.1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六条硬伤</w:t>
      </w:r>
    </w:p>
    <w:p>
      <w:pPr>
        <w:keepNext/>
        <w:spacing w:before="180" w:after="80" w:line="312" w:lineRule="auto"/>
      </w:pPr>
      <w:r>
        <w:rPr>
          <w:rFonts w:ascii="Segoe UI" w:hAnsi="Segoe UI" w:eastAsia="黑体" w:cs="Segoe UI"/>
          <w:b/>
          <w:color w:val="C04722"/>
          <w:sz w:val="23"/>
        </w:rPr>
        <w:t>局限一：技术路线高度同质化，已经退化成“数据集竞赛”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典型作品的结构几乎可以逐字复述：一个 USB 摄像头 + 一个主干网络（ResNet / 轻量 YOLO / ViT）+ 一个公开数据集（StateFarm、AUC-DD 之类）+ 一个 Softmax 二分类，输出“分心 / 不分心”。这类方案在论文里的准确率普遍能报到 95% 以上，但评委心里都清楚：换一个摄像头位置、换一种光照、换一个驾驶员，精度会掉多少是未知的。当十支队伍都交同一份东西时，评委无法据此区分优劣，只能看谁的 PPT 好看——这不是我们希望的局面。</w:t>
      </w:r>
    </w:p>
    <w:p>
      <w:pPr>
        <w:keepNext/>
        <w:spacing w:before="180" w:after="80" w:line="312" w:lineRule="auto"/>
      </w:pPr>
      <w:r>
        <w:rPr>
          <w:rFonts w:ascii="Segoe UI" w:hAnsi="Segoe UI" w:eastAsia="黑体" w:cs="Segoe UI"/>
          <w:b/>
          <w:color w:val="C04722"/>
          <w:sz w:val="23"/>
        </w:rPr>
        <w:t>局限二：概念层级错位，把“注意力”当成了“接管能力”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分心只是“接管能力”的一个子集。一个人可以既不分心、也不疲劳，但双手离开方向盘、身体后仰靠着椅背——他“想接管”却“接管不了”，因为手要挪 1–2 s。反过来，一个人可能正在低头看手机（分心），但只要手在盘上、脚在踏板上，一句语音提示就能让他 1 s 内回正。这两种情况在二分类模型里都是“分心”，但工程处置完全不同。用分心检测去做 L3 的接管决策，属于概念上的越级使用。</w:t>
      </w:r>
    </w:p>
    <w:p>
      <w:pPr>
        <w:keepNext/>
        <w:spacing w:before="180" w:after="80" w:line="312" w:lineRule="auto"/>
      </w:pPr>
      <w:r>
        <w:rPr>
          <w:rFonts w:ascii="Segoe UI" w:hAnsi="Segoe UI" w:eastAsia="黑体" w:cs="Segoe UI"/>
          <w:b/>
          <w:color w:val="C04722"/>
          <w:sz w:val="23"/>
        </w:rPr>
        <w:t>局限三：缺时间维度，判据与处置对不上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现有系统输出“分心度 0–100”，然后按一个固定阈值报警。可 L3 的工程问题是“我还有多少时间”。接管时间是随机变量，与驾驶员当前状态强相关：清醒且在环时可能是 1.5 s，疲劳且离手时可能是 8 s 以上。不知道 T_est，就无法回答“提醒够不够”、“要不要提前减速”、“MRM 该不该现在就触发”。没有时间判据的分级，本质上是拍脑袋分级。</w:t>
      </w:r>
    </w:p>
    <w:p>
      <w:pPr>
        <w:keepNext/>
        <w:spacing w:before="180" w:after="80" w:line="312" w:lineRule="auto"/>
      </w:pPr>
      <w:r>
        <w:rPr>
          <w:rFonts w:ascii="Segoe UI" w:hAnsi="Segoe UI" w:eastAsia="黑体" w:cs="Segoe UI"/>
          <w:b/>
          <w:color w:val="C04722"/>
          <w:sz w:val="23"/>
        </w:rPr>
        <w:t>局限四：场景覆盖窄，实验室友好、车上不友好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公开数据集大多采集于白天、正脸、无遮挡、光照稳定的室内或固定机位。而实际失效恰恰高发于：夜间与隧道进出口的强逆光、戴墨镜（近红外下瞳孔特征消失）、口罩与围巾遮挡下半脸、方向盘遮住手部、驾驶员身高体型差异导致相机标定失配、手机遮挡面部。单模态方案在这些场景下必然掉点，而方案里通常没有“降级”设计——一旦主模态失效，整个系统就沉默了。对安全系统来说，“沉默”比“误报”更危险。</w:t>
      </w:r>
    </w:p>
    <w:p>
      <w:pPr>
        <w:keepNext/>
        <w:spacing w:before="180" w:after="80" w:line="312" w:lineRule="auto"/>
      </w:pPr>
      <w:r>
        <w:rPr>
          <w:rFonts w:ascii="Segoe UI" w:hAnsi="Segoe UI" w:eastAsia="黑体" w:cs="Segoe UI"/>
          <w:b/>
          <w:color w:val="C04722"/>
          <w:sz w:val="23"/>
        </w:rPr>
        <w:t>局限五：评价指标单一，与工程可用性脱节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只报 Accuracy 是不够的。工程上真正决定能否落地的是四个数：误报率 FPR（误报多了用户直接关掉系统，安全收益归零）、漏报率（安全底线）、首次告警时延（疲劳和分心都有积累过程，晚 2 s 就是晚）、跨被试泛化能力。如果再往上一层，还应该报“分级预警的有效性”——即升级告警之后，接管成功率提升了多少。这些指标在现有作品里几乎见不到。</w:t>
      </w:r>
    </w:p>
    <w:p>
      <w:pPr>
        <w:keepNext/>
        <w:spacing w:before="180" w:after="80" w:line="312" w:lineRule="auto"/>
      </w:pPr>
      <w:r>
        <w:rPr>
          <w:rFonts w:ascii="Segoe UI" w:hAnsi="Segoe UI" w:eastAsia="黑体" w:cs="Segoe UI"/>
          <w:b/>
          <w:color w:val="C04722"/>
          <w:sz w:val="23"/>
        </w:rPr>
        <w:t>局限六：单向告警、无闭环、无个体化，且踩在合规红线上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蜂鸣器一响就结束，既不验证驾驶员是否真的回来（无接管确认），也不做个体基线（每个人的眨眼率、头姿习惯、坐姿差异极大，固定阈值必然误报），更没有防抖机制（频繁误报会让驾驶员产生“狼来了”效应，最终选择关闭系统）。与此同时，车内摄像头采集人脸属于《个人信息保护法》下的敏感个人信息，很多方案直接把视频传云端做人脸比对，这在量产上根本走不通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2.2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同质化竞争下的破局点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把六条局限放在一起看，会发现它们指向同一件事：大家都在优化“识别”，而题目的真正难点在“决策”。识别拼的是数据集和网络结构，评委无法验证，也难以产生记忆点；决策拼的是系统设计和对场景的理解，可以在台架上当场演示。</w:t>
      </w:r>
    </w:p>
    <w:tbl>
      <w:tblPr>
        <w:tblW w:w="8844" w:type="dxa"/>
        <w:jc w:val="center"/>
        <w:tblBorders>
          <w:top w:val="nil"/>
          <w:bottom w:val="nil"/>
          <w:right w:val="nil"/>
          <w:insideH w:val="nil"/>
          <w:insideV w:val="nil"/>
          <w:left w:val="single" w:sz="24" w:space="0" w:color="C04722"/>
        </w:tblBorders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val="clear" w:color="auto" w:fill="F5F1EA"/>
          </w:tcPr>
          <w:p>
            <w:pPr>
              <w:spacing w:before="20" w:after="60" w:line="312" w:lineRule="auto"/>
            </w:pPr>
            <w:r/>
            <w:r>
              <w:rPr>
                <w:rFonts w:ascii="Segoe UI" w:hAnsi="Segoe UI" w:eastAsia="黑体" w:cs="Segoe UI"/>
                <w:b/>
                <w:color w:val="C04722"/>
                <w:sz w:val="21"/>
              </w:rPr>
              <w:t>一句话的破局</w:t>
            </w:r>
          </w:p>
          <w:p>
            <w:pPr>
              <w:spacing w:before="0" w:after="20" w:line="341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color w:val="1A202C"/>
                <w:sz w:val="21"/>
              </w:rPr>
              <w:t>别人做的是「检测」，我们做的是「决策」。当所有队伍都在回答“他有没有看路”时，我们回答“他还来不来得及接管、如果不来得及系统该做什么”。前者是一个模型，后者是一套系统——而交通科技大赛评的是系统。</w:t>
            </w:r>
          </w:p>
        </w:tc>
      </w:tr>
    </w:tbl>
    <w:p>
      <w:pPr>
        <w:spacing w:before="0" w:after="80" w:line="144" w:lineRule="auto"/>
      </w:pP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3   现有主流方案与本方案的逐项对比</w:t>
      </w:r>
    </w:p>
    <w:tbl>
      <w:tblPr>
        <w:tblStyle w:val="TableGrid"/>
        <w:tblW w:w="9014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531"/>
        <w:gridCol w:w="2608"/>
        <w:gridCol w:w="2835"/>
        <w:gridCol w:w="2041"/>
      </w:tblGrid>
      <w:tr>
        <w:trPr>
          <w:cantSplit/>
          <w:tblHeader w:val="true"/>
        </w:trPr>
        <w:tc>
          <w:tcPr>
            <w:tcW w:type="dxa" w:w="153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60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现有主流做法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本方案的做法</w:t>
            </w:r>
          </w:p>
        </w:tc>
        <w:tc>
          <w:tcPr>
            <w:tcW w:type="dxa" w:w="204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带来的差别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任务定义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分心 / 疲劳二分类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可接管能力评估 + 接管时间预算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从“检测”升级为“决策”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输出形式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分心度 0–100，单一分数</w:t>
            </w:r>
          </w:p>
        </w:tc>
        <w:tc>
          <w:tcPr>
            <w:tcW w:type="dxa" w:w="28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DTR（0–1，带不确定度 u）+ T_est</w:t>
            </w:r>
          </w:p>
        </w:tc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可与 TOR / MRM 时序直接对齐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信号来源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单目 RGB 视觉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视觉 + 生理 + 操控 + 车辆 四路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主模态失效时仍可降级运行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判定依据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固定阈值</w:t>
            </w:r>
          </w:p>
        </w:tc>
        <w:tc>
          <w:tcPr>
            <w:tcW w:type="dxa" w:w="28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T_est 与 T_avail 的时间比较</w:t>
            </w:r>
          </w:p>
        </w:tc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判据随状态与场景自适应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处置方式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蜂鸣器 / 语音一次性报警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L0–L3 分级 + 触觉引导 + MRM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形成“告警—接管—确认”闭环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个体差异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全员同一套阈值</w:t>
            </w:r>
          </w:p>
        </w:tc>
        <w:tc>
          <w:tcPr>
            <w:tcW w:type="dxa" w:w="28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个体基线自标定 + 2 s 回滞防抖</w:t>
            </w:r>
          </w:p>
        </w:tc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显著降低误报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验证手段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公开数据集离线测试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数据集 + CARLA + HIL + 被试实验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证据链完整、可被复现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成本水平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原型动辄数千元且不可量产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BOM ≈ 3 300 元，核心板可下探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具备量产路径的说服力</w:t>
            </w:r>
          </w:p>
        </w:tc>
      </w:tr>
    </w:tbl>
    <w:p>
      <w:pPr>
        <w:spacing w:before="0" w:after="0" w:line="144" w:lineRule="auto"/>
      </w:pPr>
    </w:p>
    <w:p>
      <w:pPr>
        <w:pStyle w:val="Heading1"/>
        <w:keepNext/>
        <w:spacing w:before="400" w:after="200" w:line="288" w:lineRule="auto"/>
        <w:pBdr>
          <w:bottom w:val="single" w:sz="12" w:space="4" w:color="1F3864"/>
        </w:pBdr>
      </w:pPr>
      <w:r>
        <w:rPr>
          <w:rFonts w:ascii="Segoe UI" w:hAnsi="Segoe UI" w:eastAsia="黑体" w:cs="Segoe UI"/>
          <w:b/>
          <w:color w:val="1F3864"/>
          <w:sz w:val="38"/>
        </w:rPr>
        <w:t>第三章</w:t>
      </w:r>
      <w:r>
        <w:rPr>
          <w:rFonts w:ascii="Segoe UI" w:hAnsi="Segoe UI" w:eastAsia="黑体" w:cs="Segoe UI"/>
          <w:b/>
          <w:color w:val="1F3864"/>
          <w:sz w:val="34"/>
        </w:rPr>
        <w:t xml:space="preserve">  总体思路与创新点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3.1</w:t>
      </w:r>
      <w:r>
        <w:rPr>
          <w:rFonts w:ascii="Segoe UI" w:hAnsi="Segoe UI" w:eastAsia="黑体" w:cs="Segoe UI"/>
          <w:b/>
          <w:color w:val="1F3864"/>
          <w:sz w:val="26"/>
        </w:rPr>
        <w:t xml:space="preserve">  一句话与一张图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整个方案可以用一张漏斗图讲完：数据从六路传感器进来，被压缩成六组特征，再解耦成三个状态维度，融合成一个可接管度与一个时间预算，最后落成四级处置。这条链路上每一层都在“变窄”，最终输出的是一个能直接驱动执行器的决策。</w:t>
      </w:r>
    </w:p>
    <w:p>
      <w:pPr>
        <w:keepNext/>
        <w:spacing w:before="20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475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7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276" w:lineRule="auto"/>
        <w:jc w:val="center"/>
      </w:pPr>
      <w:r>
        <w:rPr>
          <w:rFonts w:ascii="Segoe UI" w:hAnsi="Segoe UI" w:eastAsia="微软雅黑" w:cs="Segoe UI"/>
          <w:b/>
          <w:color w:val="596674"/>
          <w:sz w:val="18"/>
        </w:rPr>
        <w:t>图 1   系统总体技术架构：六层漏斗式链路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需要强调的是第三层到第五层的关系：评估层回答“是什么状态”，融合层回答“还能不能接”，决策层回答“现在该做什么”。绝大多数现有方案止步于第三层，而本方案的重心在后两层。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3.2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创新点一：三维状态表征，把二分类拆成可独立失效的三条链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这是全案的理论支点。我们没有沿用“分心 / 不分心”的二分类，而是把驾驶员状态解耦成注意力（A）、唤醒度（V）、操作就绪度（M）三个维度。拆分的理由很实在：这三种失效的成因不同、可观测信号不同、干预手段也不同，混在一个标签里，模型学不出可解释的东西，系统也做不出针对性的处置。</w:t>
      </w:r>
    </w:p>
    <w:p>
      <w:pPr>
        <w:keepNext/>
        <w:spacing w:before="20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191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hree_di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91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276" w:lineRule="auto"/>
        <w:jc w:val="center"/>
      </w:pPr>
      <w:r>
        <w:rPr>
          <w:rFonts w:ascii="Segoe UI" w:hAnsi="Segoe UI" w:eastAsia="微软雅黑" w:cs="Segoe UI"/>
          <w:b/>
          <w:color w:val="596674"/>
          <w:sz w:val="18"/>
        </w:rPr>
        <w:t>图 2   三维状态表征：注意力、唤醒度、操作就绪度的解耦与融合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其中“操作就绪度”是本方案相对同类作品最容易被记住的一点。它由方向盘电容握持片（判断手是否在环、握持是否松脱）与座椅压力分布（判断坐姿是前倾就绪还是后仰放松）联合给出，不依赖视觉，因此在夜间、墨镜、遮挡等视觉退化场景下依然有效。把“想不想接管”和“能不能接管”分开，是工程直觉，也是学术上 take-over readiness 研究的共识方向。</w:t>
      </w:r>
    </w:p>
    <w:p>
      <w:pPr>
        <w:widowControl/>
        <w:spacing w:before="4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/>
          <w:color w:val="1F3864"/>
          <w:sz w:val="22"/>
        </w:rPr>
        <w:t>输出形式：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DTR = σ(w1·A + w2·V + w3·M + b)，取值 0–1，附带不确定度 u。权重 w 先由文献取值给初值，再由被试实验做标定；u 由各模态的置信度与一致性给出，直接驱动下一节的保守降级。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3.3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创新点二：接管时间预算，把“分数”变成“判据”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仅有 DTR 还不够，因为 0.4 这个数本身不能告诉我们该不该减速。真正可决策的量是时间：驾驶员从当前状态到完成有效接管需要多久（T_est），系统从 ODD 边界到来还能维持多久（T_avail）。两者一比较，处置策略就唯一确定了。</w:t>
      </w:r>
    </w:p>
    <w:p>
      <w:pPr>
        <w:keepNext/>
        <w:spacing w:before="20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642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ime_bud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42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276" w:lineRule="auto"/>
        <w:jc w:val="center"/>
      </w:pPr>
      <w:r>
        <w:rPr>
          <w:rFonts w:ascii="Segoe UI" w:hAnsi="Segoe UI" w:eastAsia="微软雅黑" w:cs="Segoe UI"/>
          <w:b/>
          <w:color w:val="596674"/>
          <w:sz w:val="18"/>
        </w:rPr>
        <w:t>图 3   接管时间预算模型：三种典型情形下的判据与处置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这张图是答辩时最应该讲的图，因为它把“我们跟别人不一样”讲得最清楚：同样是一次分心，落在情形 A 只需要一句提示，落在情形 C 系统必须立刻接管。而现有方案对这两种情况给出的是同一个蜂鸣器响声。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T_avail 由场景决定：高速公路上可以取 R157 过渡期量级的 10 s，城市快速路因周边交通密度高而收紧到 6–8 s，施工区、隧道口再收紧。T_est 由驾驶员状态决定，用被试实验的接管时间数据拟合一个回归模型（输入为 A/V/M 三维特征与次任务类型，输出为接管时间分布的中位数与分位数）。工程上只取 75 分位数，宁可保守。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3.4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创新点三：多模态融合与自适应降级，让系统“哑不掉”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单模态方案最大的隐患不是精度不够，而是失效时没有任何替代通路。本方案给每一路模态都配了置信度与质量门控：哪一路不可信就降权或剔除，剩余权重重归一化，融合层永远有输出——只是不确定度变大，而不确定度变大又会自动触发保守策略。</w:t>
      </w:r>
    </w:p>
    <w:p>
      <w:pPr>
        <w:keepNext/>
        <w:spacing w:before="20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96000" cy="3296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2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276" w:lineRule="auto"/>
        <w:jc w:val="center"/>
      </w:pPr>
      <w:r>
        <w:rPr>
          <w:rFonts w:ascii="Segoe UI" w:hAnsi="Segoe UI" w:eastAsia="微软雅黑" w:cs="Segoe UI"/>
          <w:b/>
          <w:color w:val="596674"/>
          <w:sz w:val="18"/>
        </w:rPr>
        <w:t>图 4   多模态融合与自适应降级流程：两道门控，保证系统不会“沉默”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这套设计的现场效果非常直观：演示时用一张纸挡住 RGB 摄像头，系统并不会报错退出，而是自动切到红外 + 握持 + 心率的组合，DTR 照常输出，只是 HMI 上的不确定度条变长。这是同类作品几乎不会去做的演示，也是最能打动评委的一分钟。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3.5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创新点四：分级预警与接管引导，形成可验证的闭环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预警不是“响了就行”。本方案把处置分成四级，每一级都规定了触发条件、使用的通道和期望达成的行为结果，并且在驾驶员响应之后还要做“接管确认”（视线回正 + 手在环 + 脚在环同时成立），确认失败则继续升级。</w:t>
      </w:r>
    </w:p>
    <w:p>
      <w:pPr>
        <w:keepNext/>
        <w:spacing w:before="20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52000" cy="2087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lad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87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276" w:lineRule="auto"/>
        <w:jc w:val="center"/>
      </w:pPr>
      <w:r>
        <w:rPr>
          <w:rFonts w:ascii="Segoe UI" w:hAnsi="Segoe UI" w:eastAsia="微软雅黑" w:cs="Segoe UI"/>
          <w:b/>
          <w:color w:val="596674"/>
          <w:sz w:val="18"/>
        </w:rPr>
        <w:t>图 5   L0–L3 分级预警与接管引导阶梯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两个细节值得在答辩时单独讲：一是通道分工——低紧迫度用视觉，中紧迫度加听觉，高紧迫度必须上触觉（方向盘与座椅振动），因为听觉在嘈杂车厢里不可靠、视觉在有次任务时最容易被忽略，而触觉是唯一“绕不过去”的通道；二是 2 s 回滞（hysteresis），等级可升可降但降级必须等待 2 s，避免在阈值附近反复切换造成提示刷屏。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3.6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创新点五：低成本可量产架构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成本不是小事。一个需要独立显卡和多摄像头、报价上万元的方案，在答辩时会被直接问“哪个车型装得起”。本方案把主控压到 RK3588 一颗芯片上（6 TOPS NPU，功耗 6 W，模组价约 680 元），所有推理本地完成，整机 BOM 控制在 3 300 元左右；若去掉车载屏、心率带与工控件，核心感知与预警部分可压到 800 元级，具备进入 10 万元级车型的想象空间。详细清单见第四章。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3.7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创新点六：数字孪生与硬件在环，把危险场景变成可重复实验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实车上无法反复复现“隧道口强逆光 + 前车突然切入 + 驾驶员正在看手机”这种组合场景，既危险也不可重复。我们采用行业通行的做法：在 CARLA 里构造场景，投到座舱屏幕上，让真人被试去开，用真实传感器采真实的人，边缘设备跑真实算法，形成硬件在环（HIL）闭环。这样既能做上百次重复试验，又能采集到真实的生理与操作数据。台架搭建方案与实验设计见第五章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3.8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创新点小结：每一条都对应一条局限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4   创新点与局限、支撑材料、现场证据的对应关系</w:t>
      </w:r>
    </w:p>
    <w:tbl>
      <w:tblPr>
        <w:tblStyle w:val="TableGrid"/>
        <w:tblW w:w="9014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871"/>
        <w:gridCol w:w="2381"/>
        <w:gridCol w:w="2268"/>
        <w:gridCol w:w="2494"/>
      </w:tblGrid>
      <w:tr>
        <w:trPr>
          <w:cantSplit/>
          <w:tblHeader w:val="true"/>
        </w:trPr>
        <w:tc>
          <w:tcPr>
            <w:tcW w:type="dxa" w:w="187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创新点</w:t>
            </w:r>
          </w:p>
        </w:tc>
        <w:tc>
          <w:tcPr>
            <w:tcW w:type="dxa" w:w="238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针对第二章哪条局限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支撑材料</w:t>
            </w:r>
          </w:p>
        </w:tc>
        <w:tc>
          <w:tcPr>
            <w:tcW w:type="dxa" w:w="249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现场能拿出什么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三维状态表征</w:t>
            </w:r>
          </w:p>
        </w:tc>
        <w:tc>
          <w:tcPr>
            <w:tcW w:type="dxa" w:w="238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局限二：概念错位</w:t>
            </w:r>
          </w:p>
        </w:tc>
        <w:tc>
          <w:tcPr>
            <w:tcW w:type="dxa" w:w="226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图 2、表 14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HMI 同时显示 A / V / M 三条状态曲线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接管时间预算</w:t>
            </w:r>
          </w:p>
        </w:tc>
        <w:tc>
          <w:tcPr>
            <w:tcW w:type="dxa" w:w="238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局限三：缺时间维度</w:t>
            </w:r>
          </w:p>
        </w:tc>
        <w:tc>
          <w:tcPr>
            <w:tcW w:type="dxa" w:w="226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图 3、图 8、表 15</w:t>
            </w:r>
          </w:p>
        </w:tc>
        <w:tc>
          <w:tcPr>
            <w:tcW w:type="dxa" w:w="249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演示“T_est 超窗 → 直接 MRM”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多模态融合降级</w:t>
            </w:r>
          </w:p>
        </w:tc>
        <w:tc>
          <w:tcPr>
            <w:tcW w:type="dxa" w:w="238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局限四：场景覆盖窄</w:t>
            </w:r>
          </w:p>
        </w:tc>
        <w:tc>
          <w:tcPr>
            <w:tcW w:type="dxa" w:w="226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图 4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当场遮住摄像头，系统仍输出 DTR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分级预警闭环</w:t>
            </w:r>
          </w:p>
        </w:tc>
        <w:tc>
          <w:tcPr>
            <w:tcW w:type="dxa" w:w="238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局限六：单向告警</w:t>
            </w:r>
          </w:p>
        </w:tc>
        <w:tc>
          <w:tcPr>
            <w:tcW w:type="dxa" w:w="226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图 5</w:t>
            </w:r>
          </w:p>
        </w:tc>
        <w:tc>
          <w:tcPr>
            <w:tcW w:type="dxa" w:w="249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四级递进升级 + 接管确认回绿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低成本架构</w:t>
            </w:r>
          </w:p>
        </w:tc>
        <w:tc>
          <w:tcPr>
            <w:tcW w:type="dxa" w:w="238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局限六：成本与合规</w:t>
            </w:r>
          </w:p>
        </w:tc>
        <w:tc>
          <w:tcPr>
            <w:tcW w:type="dxa" w:w="226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表 5、表 8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3 300 元 BOM 实物 + 本地推理说明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HIL 验证体系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局限五：指标单一</w:t>
            </w:r>
          </w:p>
        </w:tc>
        <w:tc>
          <w:tcPr>
            <w:tcW w:type="dxa" w:w="2268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图 7、表 15</w:t>
            </w:r>
          </w:p>
        </w:tc>
        <w:tc>
          <w:tcPr>
            <w:tcW w:type="dxa" w:w="2494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CARLA 隧道逆光场景实时闭环运行</w:t>
            </w:r>
          </w:p>
        </w:tc>
      </w:tr>
    </w:tbl>
    <w:p>
      <w:pPr>
        <w:spacing w:before="0" w:after="0" w:line="144" w:lineRule="auto"/>
      </w:pP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这张表建议直接做成答辩时的“创新点页”：评委问“你创新在哪”，就按行往下指，每一行都有对应的图和实物，问一个答一个，不会虚。</w:t>
      </w:r>
    </w:p>
    <w:p>
      <w:pPr>
        <w:pStyle w:val="Heading1"/>
        <w:keepNext/>
        <w:spacing w:before="400" w:after="200" w:line="288" w:lineRule="auto"/>
        <w:pBdr>
          <w:bottom w:val="single" w:sz="12" w:space="4" w:color="1F3864"/>
        </w:pBdr>
      </w:pPr>
      <w:r>
        <w:rPr>
          <w:rFonts w:ascii="Segoe UI" w:hAnsi="Segoe UI" w:eastAsia="黑体" w:cs="Segoe UI"/>
          <w:b/>
          <w:color w:val="1F3864"/>
          <w:sz w:val="38"/>
        </w:rPr>
        <w:t>第四章</w:t>
      </w:r>
      <w:r>
        <w:rPr>
          <w:rFonts w:ascii="Segoe UI" w:hAnsi="Segoe UI" w:eastAsia="黑体" w:cs="Segoe UI"/>
          <w:b/>
          <w:color w:val="1F3864"/>
          <w:sz w:val="34"/>
        </w:rPr>
        <w:t xml:space="preserve">  实物系统设计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一章解决“到底买什么、做成什么”的问题。原则有三条：第一，全部选用国内电商可现货采购的通用器件，不下车规定制的赌注；第二，主控只留一颗芯片，减少现场故障点；第三，每一个器件都必须能在答辩时用一句话说清“它解决什么问题”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4.1</w:t>
      </w:r>
      <w:r>
        <w:rPr>
          <w:rFonts w:ascii="Segoe UI" w:hAnsi="Segoe UI" w:eastAsia="黑体" w:cs="Segoe UI"/>
          <w:b/>
          <w:color w:val="1F3864"/>
          <w:sz w:val="26"/>
        </w:rPr>
        <w:t xml:space="preserve">  系统组成与信号流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整机是一个“星形拓扑 + 一条车辆总线”的结构：主控位于中心，左侧四路传感器走 USB / BLE / I²C，右侧四路执行器走 UART / GPIO / PWM / CAN，底部通过 OBD-II 或 USB-CAN 接入车辆状态。这种拓扑的好处是任何一路外设出问题，只需拔掉该路，其余链路仍可运行——这正是第三章“系统不会哑掉”的硬件基础。</w:t>
      </w:r>
    </w:p>
    <w:p>
      <w:pPr>
        <w:keepNext/>
        <w:spacing w:before="20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52000" cy="31532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hardw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53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276" w:lineRule="auto"/>
        <w:jc w:val="center"/>
      </w:pPr>
      <w:r>
        <w:rPr>
          <w:rFonts w:ascii="Segoe UI" w:hAnsi="Segoe UI" w:eastAsia="微软雅黑" w:cs="Segoe UI"/>
          <w:b/>
          <w:color w:val="596674"/>
          <w:sz w:val="18"/>
        </w:rPr>
        <w:t>图 6   车载原型硬件拓扑与接口分配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4.2</w:t>
      </w:r>
      <w:r>
        <w:rPr>
          <w:rFonts w:ascii="Segoe UI" w:hAnsi="Segoe UI" w:eastAsia="黑体" w:cs="Segoe UI"/>
          <w:b/>
          <w:color w:val="1F3864"/>
          <w:sz w:val="26"/>
        </w:rPr>
        <w:t xml:space="preserve">  主控与算力选型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选型的核心矛盾是“算力够不够跑实时推理”与“价格能不能被接受”。我们对比了五条路线，最终选择 RK3588：6 TOPS 的 NPU 足以在 720p 上跑到 25 fps 以上，整板功耗 6 W 可以用 5 V 电源直接带，模组价格约 680 元。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5   主控平台选型对比</w:t>
      </w:r>
    </w:p>
    <w:tbl>
      <w:tblPr>
        <w:tblStyle w:val="TableGrid"/>
        <w:tblW w:w="9184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928"/>
        <w:gridCol w:w="1134"/>
        <w:gridCol w:w="737"/>
        <w:gridCol w:w="964"/>
        <w:gridCol w:w="2608"/>
        <w:gridCol w:w="1814"/>
      </w:tblGrid>
      <w:tr>
        <w:trPr>
          <w:cantSplit/>
          <w:tblHeader w:val="true"/>
        </w:trPr>
        <w:tc>
          <w:tcPr>
            <w:tcW w:type="dxa" w:w="192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113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NPU / 算力</w:t>
            </w:r>
          </w:p>
        </w:tc>
        <w:tc>
          <w:tcPr>
            <w:tcW w:type="dxa" w:w="737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功耗</w:t>
            </w:r>
          </w:p>
        </w:tc>
        <w:tc>
          <w:tcPr>
            <w:tcW w:type="dxa" w:w="96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参考价</w:t>
            </w:r>
          </w:p>
        </w:tc>
        <w:tc>
          <w:tcPr>
            <w:tcW w:type="dxa" w:w="260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开发体验</w:t>
            </w:r>
          </w:p>
        </w:tc>
        <w:tc>
          <w:tcPr>
            <w:tcW w:type="dxa" w:w="181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RK3588</w:t>
              <w:br/>
              <w:t>（Orange Pi 5 Plus）</w:t>
            </w:r>
          </w:p>
        </w:tc>
        <w:tc>
          <w:tcPr>
            <w:tcW w:type="dxa" w:w="113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6 TOPS</w:t>
            </w:r>
          </w:p>
        </w:tc>
        <w:tc>
          <w:tcPr>
            <w:tcW w:type="dxa" w:w="73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6 W</w:t>
            </w:r>
          </w:p>
        </w:tc>
        <w:tc>
          <w:tcPr>
            <w:tcW w:type="dxa" w:w="96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≈ 680 元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RKNN 工具链成熟，</w:t>
              <w:br/>
              <w:t>YOLO/姿态类模型可直接转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选用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Jetson Orin Nano 8G</w:t>
            </w:r>
          </w:p>
        </w:tc>
        <w:tc>
          <w:tcPr>
            <w:tcW w:type="dxa" w:w="113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40 TOPS</w:t>
            </w:r>
          </w:p>
        </w:tc>
        <w:tc>
          <w:tcPr>
            <w:tcW w:type="dxa" w:w="73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15 W</w:t>
            </w:r>
          </w:p>
        </w:tc>
        <w:tc>
          <w:tcPr>
            <w:tcW w:type="dxa" w:w="96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≈ 1 900 元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CUDA 生态最完整</w:t>
            </w:r>
          </w:p>
        </w:tc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性能过剩，超预算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树莓派 5 + Hailo-8L</w:t>
            </w:r>
          </w:p>
        </w:tc>
        <w:tc>
          <w:tcPr>
            <w:tcW w:type="dxa" w:w="113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13 TOPS</w:t>
            </w:r>
          </w:p>
        </w:tc>
        <w:tc>
          <w:tcPr>
            <w:tcW w:type="dxa" w:w="73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8 W</w:t>
            </w:r>
          </w:p>
        </w:tc>
        <w:tc>
          <w:tcPr>
            <w:tcW w:type="dxa" w:w="96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≈ 1 100 元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Python 友好，</w:t>
              <w:br/>
              <w:t>AI HAT 供货不稳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备选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地平线 X3 PI</w:t>
            </w:r>
          </w:p>
        </w:tc>
        <w:tc>
          <w:tcPr>
            <w:tcW w:type="dxa" w:w="113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5 TOPS</w:t>
            </w:r>
          </w:p>
        </w:tc>
        <w:tc>
          <w:tcPr>
            <w:tcW w:type="dxa" w:w="73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5 W</w:t>
            </w:r>
          </w:p>
        </w:tc>
        <w:tc>
          <w:tcPr>
            <w:tcW w:type="dxa" w:w="96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≈ 600 元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车规级，公开资料少</w:t>
            </w:r>
          </w:p>
        </w:tc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备选（车规背书用）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笔记本 + USB 相机</w:t>
            </w:r>
          </w:p>
        </w:tc>
        <w:tc>
          <w:tcPr>
            <w:tcW w:type="dxa" w:w="1134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独显</w:t>
            </w:r>
          </w:p>
        </w:tc>
        <w:tc>
          <w:tcPr>
            <w:tcW w:type="dxa" w:w="737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—</w:t>
            </w:r>
          </w:p>
        </w:tc>
        <w:tc>
          <w:tcPr>
            <w:tcW w:type="dxa" w:w="964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借用</w:t>
            </w:r>
          </w:p>
        </w:tc>
        <w:tc>
          <w:tcPr>
            <w:tcW w:type="dxa" w:w="2608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零门槛，最快出结果</w:t>
            </w:r>
          </w:p>
        </w:tc>
        <w:tc>
          <w:tcPr>
            <w:tcW w:type="dxa" w:w="1814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兜底与演示备份</w:t>
            </w:r>
          </w:p>
        </w:tc>
      </w:tr>
    </w:tbl>
    <w:p>
      <w:pPr>
        <w:spacing w:before="0" w:after="0" w:line="144" w:lineRule="auto"/>
      </w:pP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答辩时如果被问“为什么不用车规芯片”，标准回答是：原型阶段优先验证算法链路与系统逻辑，RK3588 的计算架构与主流车规 SoC（如地平线 J3、TDA4）同构，算法迁移成本低；量产时替换主控不影响上层设计。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4.3</w:t>
      </w:r>
      <w:r>
        <w:rPr>
          <w:rFonts w:ascii="Segoe UI" w:hAnsi="Segoe UI" w:eastAsia="黑体" w:cs="Segoe UI"/>
          <w:b/>
          <w:color w:val="1F3864"/>
          <w:sz w:val="26"/>
        </w:rPr>
        <w:t xml:space="preserve">  传感器方案与安装位置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传感器的选择遵循“每一路都能独立支撑一个维度”的原则，避免所有信号都挤在视觉上。安装位置直接决定数据质量，下表的位置参数是按实车座舱尺寸估算的，装配后需做一次静态标定。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6   传感器配置与安装参数</w:t>
      </w:r>
    </w:p>
    <w:tbl>
      <w:tblPr>
        <w:tblStyle w:val="TableGrid"/>
        <w:tblW w:w="9298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247"/>
        <w:gridCol w:w="2268"/>
        <w:gridCol w:w="2835"/>
        <w:gridCol w:w="964"/>
        <w:gridCol w:w="1134"/>
        <w:gridCol w:w="850"/>
      </w:tblGrid>
      <w:tr>
        <w:trPr>
          <w:cantSplit/>
          <w:tblHeader w:val="true"/>
        </w:trPr>
        <w:tc>
          <w:tcPr>
            <w:tcW w:type="dxa" w:w="1247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传感器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规格 / 型号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安装位置</w:t>
            </w:r>
          </w:p>
        </w:tc>
        <w:tc>
          <w:tcPr>
            <w:tcW w:type="dxa" w:w="96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采样</w:t>
            </w:r>
          </w:p>
        </w:tc>
        <w:tc>
          <w:tcPr>
            <w:tcW w:type="dxa" w:w="113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支撑维度</w:t>
            </w:r>
          </w:p>
        </w:tc>
        <w:tc>
          <w:tcPr>
            <w:tcW w:type="dxa" w:w="850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接口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RGB 相机</w:t>
            </w:r>
          </w:p>
        </w:tc>
        <w:tc>
          <w:tcPr>
            <w:tcW w:type="dxa" w:w="226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全局快门 720p@60 fps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内后视镜右侧下方，距眼 55–75 cm，俯角 10–15°</w:t>
            </w:r>
          </w:p>
        </w:tc>
        <w:tc>
          <w:tcPr>
            <w:tcW w:type="dxa" w:w="96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60 fps</w:t>
            </w:r>
          </w:p>
        </w:tc>
        <w:tc>
          <w:tcPr>
            <w:tcW w:type="dxa" w:w="113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A 注意力</w:t>
            </w:r>
          </w:p>
        </w:tc>
        <w:tc>
          <w:tcPr>
            <w:tcW w:type="dxa" w:w="850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USB 3.0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红外相机</w:t>
            </w:r>
          </w:p>
        </w:tc>
        <w:tc>
          <w:tcPr>
            <w:tcW w:type="dxa" w:w="226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850 nm 敏感，无 IR-cut</w:t>
            </w:r>
          </w:p>
        </w:tc>
        <w:tc>
          <w:tcPr>
            <w:tcW w:type="dxa" w:w="28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与 RGB 相机并排，基线约 6 cm</w:t>
            </w:r>
          </w:p>
        </w:tc>
        <w:tc>
          <w:tcPr>
            <w:tcW w:type="dxa" w:w="96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30 fps</w:t>
            </w:r>
          </w:p>
        </w:tc>
        <w:tc>
          <w:tcPr>
            <w:tcW w:type="dxa" w:w="113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A（夜间/墨镜）</w:t>
            </w:r>
          </w:p>
        </w:tc>
        <w:tc>
          <w:tcPr>
            <w:tcW w:type="dxa" w:w="850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USB 2.0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红外补光</w:t>
            </w:r>
          </w:p>
        </w:tc>
        <w:tc>
          <w:tcPr>
            <w:tcW w:type="dxa" w:w="226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850 nm / 5 W，光敏开关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相机两侧对称安装</w:t>
            </w:r>
          </w:p>
        </w:tc>
        <w:tc>
          <w:tcPr>
            <w:tcW w:type="dxa" w:w="96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A（主动照明）</w:t>
            </w:r>
          </w:p>
        </w:tc>
        <w:tc>
          <w:tcPr>
            <w:tcW w:type="dxa" w:w="850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12 V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广角相机</w:t>
            </w:r>
          </w:p>
        </w:tc>
        <w:tc>
          <w:tcPr>
            <w:tcW w:type="dxa" w:w="226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120° 720p</w:t>
            </w:r>
          </w:p>
        </w:tc>
        <w:tc>
          <w:tcPr>
            <w:tcW w:type="dxa" w:w="28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顶棚中央，俯视方向盘与双手</w:t>
            </w:r>
          </w:p>
        </w:tc>
        <w:tc>
          <w:tcPr>
            <w:tcW w:type="dxa" w:w="96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30 fps</w:t>
            </w:r>
          </w:p>
        </w:tc>
        <w:tc>
          <w:tcPr>
            <w:tcW w:type="dxa" w:w="113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M 操作就绪</w:t>
            </w:r>
          </w:p>
        </w:tc>
        <w:tc>
          <w:tcPr>
            <w:tcW w:type="dxa" w:w="850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USB 2.0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电容握持片</w:t>
            </w:r>
          </w:p>
        </w:tc>
        <w:tc>
          <w:tcPr>
            <w:tcW w:type="dxa" w:w="226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MPR121（12 通道）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方向盘 3 点、9 点位置，导电布贴片</w:t>
            </w:r>
          </w:p>
        </w:tc>
        <w:tc>
          <w:tcPr>
            <w:tcW w:type="dxa" w:w="96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50 Hz</w:t>
            </w:r>
          </w:p>
        </w:tc>
        <w:tc>
          <w:tcPr>
            <w:tcW w:type="dxa" w:w="113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M 手在环</w:t>
            </w:r>
          </w:p>
        </w:tc>
        <w:tc>
          <w:tcPr>
            <w:tcW w:type="dxa" w:w="850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I²C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座椅压力</w:t>
            </w:r>
          </w:p>
        </w:tc>
        <w:tc>
          <w:tcPr>
            <w:tcW w:type="dxa" w:w="226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FSR402 薄膜压力 ×4</w:t>
            </w:r>
          </w:p>
        </w:tc>
        <w:tc>
          <w:tcPr>
            <w:tcW w:type="dxa" w:w="28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坐垫四角（前二后二）</w:t>
            </w:r>
          </w:p>
        </w:tc>
        <w:tc>
          <w:tcPr>
            <w:tcW w:type="dxa" w:w="96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20 Hz</w:t>
            </w:r>
          </w:p>
        </w:tc>
        <w:tc>
          <w:tcPr>
            <w:tcW w:type="dxa" w:w="113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M 坐姿/离座</w:t>
            </w:r>
          </w:p>
        </w:tc>
        <w:tc>
          <w:tcPr>
            <w:tcW w:type="dxa" w:w="850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ADC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心率带</w:t>
            </w:r>
          </w:p>
        </w:tc>
        <w:tc>
          <w:tcPr>
            <w:tcW w:type="dxa" w:w="226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Polar H10（含 RR 间期）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胸带佩戴</w:t>
            </w:r>
          </w:p>
        </w:tc>
        <w:tc>
          <w:tcPr>
            <w:tcW w:type="dxa" w:w="96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 Hz / 130 Hz</w:t>
            </w:r>
          </w:p>
        </w:tc>
        <w:tc>
          <w:tcPr>
            <w:tcW w:type="dxa" w:w="113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V 唤醒度</w:t>
            </w:r>
          </w:p>
        </w:tc>
        <w:tc>
          <w:tcPr>
            <w:tcW w:type="dxa" w:w="850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BLE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皮肤电</w:t>
            </w:r>
          </w:p>
        </w:tc>
        <w:tc>
          <w:tcPr>
            <w:tcW w:type="dxa" w:w="226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Grove GSR</w:t>
            </w:r>
          </w:p>
        </w:tc>
        <w:tc>
          <w:tcPr>
            <w:tcW w:type="dxa" w:w="28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方向盘握持区内侧（可选）</w:t>
            </w:r>
          </w:p>
        </w:tc>
        <w:tc>
          <w:tcPr>
            <w:tcW w:type="dxa" w:w="96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20 Hz</w:t>
            </w:r>
          </w:p>
        </w:tc>
        <w:tc>
          <w:tcPr>
            <w:tcW w:type="dxa" w:w="113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V 唤醒度</w:t>
            </w:r>
          </w:p>
        </w:tc>
        <w:tc>
          <w:tcPr>
            <w:tcW w:type="dxa" w:w="850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ADC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车辆信号</w:t>
            </w:r>
          </w:p>
        </w:tc>
        <w:tc>
          <w:tcPr>
            <w:tcW w:type="dxa" w:w="2268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ELM327 / USB-CAN</w:t>
            </w:r>
          </w:p>
        </w:tc>
        <w:tc>
          <w:tcPr>
            <w:tcW w:type="dxa" w:w="2835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OBD-II 诊断口</w:t>
            </w:r>
          </w:p>
        </w:tc>
        <w:tc>
          <w:tcPr>
            <w:tcW w:type="dxa" w:w="964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10–50 Hz</w:t>
            </w:r>
          </w:p>
        </w:tc>
        <w:tc>
          <w:tcPr>
            <w:tcW w:type="dxa" w:w="1134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情境与工况</w:t>
            </w:r>
          </w:p>
        </w:tc>
        <w:tc>
          <w:tcPr>
            <w:tcW w:type="dxa" w:w="850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OBD / CAN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4.4</w:t>
      </w:r>
      <w:r>
        <w:rPr>
          <w:rFonts w:ascii="Segoe UI" w:hAnsi="Segoe UI" w:eastAsia="黑体" w:cs="Segoe UI"/>
          <w:b/>
          <w:color w:val="1F3864"/>
          <w:sz w:val="26"/>
        </w:rPr>
        <w:t xml:space="preserve">  执行器与预警通道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四个执行通道不是简单叠加，而是按紧迫度分工：低紧迫度只用视觉，中紧迫度加听觉，高紧迫度必须上触觉。这样设计的原因是——驾驶员在做次任务时视觉最容易被忽略，车厢噪声让听觉不可靠，而振动是唯一“绕不过去”的通道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7   预警执行通道与强度分级</w:t>
      </w:r>
    </w:p>
    <w:tbl>
      <w:tblPr>
        <w:tblStyle w:val="TableGrid"/>
        <w:tblW w:w="9184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361"/>
        <w:gridCol w:w="2948"/>
        <w:gridCol w:w="2608"/>
        <w:gridCol w:w="1020"/>
        <w:gridCol w:w="1247"/>
      </w:tblGrid>
      <w:tr>
        <w:trPr>
          <w:cantSplit/>
          <w:tblHeader w:val="true"/>
        </w:trPr>
        <w:tc>
          <w:tcPr>
            <w:tcW w:type="dxa" w:w="136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通道</w:t>
            </w:r>
          </w:p>
        </w:tc>
        <w:tc>
          <w:tcPr>
            <w:tcW w:type="dxa" w:w="294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器件</w:t>
            </w:r>
          </w:p>
        </w:tc>
        <w:tc>
          <w:tcPr>
            <w:tcW w:type="dxa" w:w="260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强度分级方式</w:t>
            </w:r>
          </w:p>
        </w:tc>
        <w:tc>
          <w:tcPr>
            <w:tcW w:type="dxa" w:w="1020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启用等级</w:t>
            </w:r>
          </w:p>
        </w:tc>
        <w:tc>
          <w:tcPr>
            <w:tcW w:type="dxa" w:w="1247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响应时延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视觉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10.1″ 屏 HMI 图标 + WS2812B 灯环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颜色（绿→蓝→橙→红）+ 闪烁频率</w:t>
            </w:r>
          </w:p>
        </w:tc>
        <w:tc>
          <w:tcPr>
            <w:tcW w:type="dxa" w:w="1020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L1–L3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≈ 30 ms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听觉</w:t>
            </w:r>
          </w:p>
        </w:tc>
        <w:tc>
          <w:tcPr>
            <w:tcW w:type="dxa" w:w="294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DFPlayer MP3 + 3 W 喇叭 / 有源蜂鸣器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单次提示音 → 短语音 → 持续语音</w:t>
            </w:r>
          </w:p>
        </w:tc>
        <w:tc>
          <w:tcPr>
            <w:tcW w:type="dxa" w:w="1020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L1–L3</w:t>
            </w:r>
          </w:p>
        </w:tc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≈ 50 ms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触觉-方向盘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扁平振动马达 ×2（3、9 点位置）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单次脉冲 → 连续振动（可编码指向）</w:t>
            </w:r>
          </w:p>
        </w:tc>
        <w:tc>
          <w:tcPr>
            <w:tcW w:type="dxa" w:w="1020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L2–L3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≈ 20 ms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触觉-座椅</w:t>
            </w:r>
          </w:p>
        </w:tc>
        <w:tc>
          <w:tcPr>
            <w:tcW w:type="dxa" w:w="294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扁平振动马达 ×1（坐垫）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低频脉动，与方向盘错频</w:t>
            </w:r>
          </w:p>
        </w:tc>
        <w:tc>
          <w:tcPr>
            <w:tcW w:type="dxa" w:w="1020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L3</w:t>
            </w:r>
          </w:p>
        </w:tc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≈ 20 ms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车辆动作</w:t>
            </w:r>
          </w:p>
        </w:tc>
        <w:tc>
          <w:tcPr>
            <w:tcW w:type="dxa" w:w="2948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CAN 减速 / 靠边请求</w:t>
            </w:r>
          </w:p>
        </w:tc>
        <w:tc>
          <w:tcPr>
            <w:tcW w:type="dxa" w:w="2608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小幅降速 → 靠边 → 停车（MRM）</w:t>
            </w:r>
          </w:p>
        </w:tc>
        <w:tc>
          <w:tcPr>
            <w:tcW w:type="dxa" w:w="1020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L3 / MRM</w:t>
            </w:r>
          </w:p>
        </w:tc>
        <w:tc>
          <w:tcPr>
            <w:tcW w:type="dxa" w:w="1247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取决于底盘</w:t>
            </w:r>
          </w:p>
        </w:tc>
      </w:tr>
    </w:tbl>
    <w:p>
      <w:pPr>
        <w:spacing w:before="0" w:after="0" w:line="144" w:lineRule="auto"/>
      </w:pP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关于“方向盘振动指向”值得多讲一句：两个马达装在 3 点和 9 点，左侧振动提示“左手该回盘了”，右侧提示右手，这在实验中被证明比蜂鸣器更有效——因为它直接告诉驾驶员“该做什么”，而不只是“出事了”。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4.5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实物物料清单（BOM）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下表是可以直接照着下单的清单。价格取自 2025 年国内电商常见价，实际采购按批量与渠道浮动约 ±15%。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8   车载原型物料清单（BOM）</w:t>
      </w:r>
    </w:p>
    <w:tbl>
      <w:tblPr>
        <w:tblW w:w="9184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45" w:type="dxa"/>
          <w:left w:w="80" w:type="dxa"/>
          <w:bottom w:w="45" w:type="dxa"/>
          <w:right w:w="80" w:type="dxa"/>
        </w:tblCellMar>
        <w:tblLook w:firstColumn="1" w:firstRow="1" w:lastColumn="0" w:lastRow="0" w:noHBand="0" w:noVBand="1" w:val="04A0"/>
      </w:tblPr>
      <w:tblGrid>
        <w:gridCol w:w="1276"/>
        <w:gridCol w:w="3118"/>
        <w:gridCol w:w="567"/>
        <w:gridCol w:w="765"/>
        <w:gridCol w:w="765"/>
        <w:gridCol w:w="2693"/>
      </w:tblGrid>
      <w:tr>
        <w:trPr>
          <w:cantSplit/>
          <w:tblHeader w:val="true"/>
        </w:trPr>
        <w:tc>
          <w:tcPr>
            <w:tcW w:type="dxa" w:w="1276"/>
            <w:shd w:val="clear" w:color="auto" w:fill="1F3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名称与规格</w:t>
            </w:r>
          </w:p>
        </w:tc>
        <w:tc>
          <w:tcPr>
            <w:tcW w:type="dxa" w:w="567"/>
            <w:shd w:val="clear" w:color="auto" w:fill="1F3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单价</w:t>
              <w:br/>
              <w:t>(元)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小计</w:t>
              <w:br/>
              <w:t>(元)</w:t>
            </w:r>
          </w:p>
        </w:tc>
        <w:tc>
          <w:tcPr>
            <w:tcW w:type="dxa" w:w="2693"/>
            <w:shd w:val="clear" w:color="auto" w:fill="1F3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6" w:space="0" w:color="9FB3CC"/>
            </w:tcBorders>
            <w:shd w:val="clear" w:color="auto" w:fill="F2F6FB"/>
          </w:tcPr>
          <w:p>
            <w:pPr>
              <w:spacing w:before="4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  <w:r>
              <w:rPr>
                <w:rFonts w:ascii="Segoe UI" w:hAnsi="Segoe UI" w:eastAsia="黑体" w:cs="Segoe UI"/>
                <w:b/>
                <w:color w:val="1F3864"/>
                <w:sz w:val="17"/>
              </w:rPr>
              <w:t>主控与</w:t>
              <w:br/>
              <w:t>存储</w:t>
            </w:r>
          </w:p>
          <w:p>
            <w:pPr>
              <w:spacing w:before="20" w:after="40"/>
              <w:jc w:val="center"/>
            </w:pPr>
            <w:r>
              <w:rPr>
                <w:rFonts w:ascii="Segoe UI" w:hAnsi="Segoe UI" w:eastAsia="微软雅黑" w:cs="Segoe UI"/>
                <w:b w:val="0"/>
                <w:color w:val="C04722"/>
                <w:sz w:val="16"/>
              </w:rPr>
              <w:t>小计</w:t>
              <w:br/>
              <w:t>¥ 860</w:t>
            </w:r>
          </w:p>
        </w:tc>
        <w:tc>
          <w:tcPr>
            <w:tcW w:type="dxa" w:w="3118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香橙派 Orange Pi 5 Plus（RK3588，8 GB）</w:t>
            </w:r>
          </w:p>
        </w:tc>
        <w:tc>
          <w:tcPr>
            <w:tcW w:type="dxa" w:w="567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680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680</w:t>
            </w:r>
          </w:p>
        </w:tc>
        <w:tc>
          <w:tcPr>
            <w:tcW w:type="dxa" w:w="2693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主控：跑 ROS 2 与 NPU 推理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NVMe 固态硬盘 256 GB（M.2 2242）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150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150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系统盘与实验数据记录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主动散热风扇 + 铝合金外壳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30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长时间运行的散热与防护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6" w:space="0" w:color="9FB3CC"/>
            </w:tcBorders>
            <w:shd w:val="clear" w:color="auto" w:fill="F2F6FB"/>
          </w:tcPr>
          <w:p>
            <w:pPr>
              <w:spacing w:before="4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  <w:r>
              <w:rPr>
                <w:rFonts w:ascii="Segoe UI" w:hAnsi="Segoe UI" w:eastAsia="黑体" w:cs="Segoe UI"/>
                <w:b/>
                <w:color w:val="1F3864"/>
                <w:sz w:val="17"/>
              </w:rPr>
              <w:t>视觉</w:t>
            </w:r>
          </w:p>
          <w:p>
            <w:pPr>
              <w:spacing w:before="20" w:after="40"/>
              <w:jc w:val="center"/>
            </w:pPr>
            <w:r>
              <w:rPr>
                <w:rFonts w:ascii="Segoe UI" w:hAnsi="Segoe UI" w:eastAsia="微软雅黑" w:cs="Segoe UI"/>
                <w:b w:val="0"/>
                <w:color w:val="C04722"/>
                <w:sz w:val="16"/>
              </w:rPr>
              <w:t>小计</w:t>
              <w:br/>
              <w:t>¥ 530</w:t>
            </w:r>
          </w:p>
        </w:tc>
        <w:tc>
          <w:tcPr>
            <w:tcW w:type="dxa" w:w="3118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USB3 全局快门摄像头 720p@60 fps</w:t>
            </w:r>
          </w:p>
        </w:tc>
        <w:tc>
          <w:tcPr>
            <w:tcW w:type="dxa" w:w="567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260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260</w:t>
            </w:r>
          </w:p>
        </w:tc>
        <w:tc>
          <w:tcPr>
            <w:tcW w:type="dxa" w:w="2693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主视觉：头姿、视线、眼动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红外 USB 摄像头（850 nm，无 IR-cut）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120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120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夜间与墨镜工况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850 nm 红外补光板 5 W（带光敏开关）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45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90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主动补光，不干扰驾驶员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USB 广角摄像头 120°（OV5640）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60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60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俯视手部与方向盘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6" w:space="0" w:color="9FB3CC"/>
            </w:tcBorders>
            <w:shd w:val="clear" w:color="auto" w:fill="F2F6FB"/>
          </w:tcPr>
          <w:p>
            <w:pPr>
              <w:spacing w:before="4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  <w:r>
              <w:rPr>
                <w:rFonts w:ascii="Segoe UI" w:hAnsi="Segoe UI" w:eastAsia="黑体" w:cs="Segoe UI"/>
                <w:b/>
                <w:color w:val="1F3864"/>
                <w:sz w:val="17"/>
              </w:rPr>
              <w:t>操控</w:t>
              <w:br/>
              <w:t>感知</w:t>
            </w:r>
          </w:p>
          <w:p>
            <w:pPr>
              <w:spacing w:before="20" w:after="40"/>
              <w:jc w:val="center"/>
            </w:pPr>
            <w:r>
              <w:rPr>
                <w:rFonts w:ascii="Segoe UI" w:hAnsi="Segoe UI" w:eastAsia="微软雅黑" w:cs="Segoe UI"/>
                <w:b w:val="0"/>
                <w:color w:val="C04722"/>
                <w:sz w:val="16"/>
              </w:rPr>
              <w:t>小计</w:t>
              <w:br/>
              <w:t>¥ 193</w:t>
            </w:r>
          </w:p>
        </w:tc>
        <w:tc>
          <w:tcPr>
            <w:tcW w:type="dxa" w:w="3118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MPR121 电容触摸模块（12 通道）</w:t>
            </w:r>
          </w:p>
        </w:tc>
        <w:tc>
          <w:tcPr>
            <w:tcW w:type="dxa" w:w="567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25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25</w:t>
            </w:r>
          </w:p>
        </w:tc>
        <w:tc>
          <w:tcPr>
            <w:tcW w:type="dxa" w:w="2693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方向盘握持检测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导电布 / 铜箔胶带（3、9 点贴片）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20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电容电极材料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薄膜压力传感器 FSR402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4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18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72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坐垫四角，判断坐姿与离座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HX711 称重采集模块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8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16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压力信号放大与 AD 转换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电位器式方向盘角度传感器（备用）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60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60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车辆无 CAN 时读转角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6" w:space="0" w:color="9FB3CC"/>
            </w:tcBorders>
            <w:shd w:val="clear" w:color="auto" w:fill="F2F6FB"/>
          </w:tcPr>
          <w:p>
            <w:pPr>
              <w:spacing w:before="4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  <w:r>
              <w:rPr>
                <w:rFonts w:ascii="Segoe UI" w:hAnsi="Segoe UI" w:eastAsia="黑体" w:cs="Segoe UI"/>
                <w:b/>
                <w:color w:val="1F3864"/>
                <w:sz w:val="17"/>
              </w:rPr>
              <w:t>生理</w:t>
            </w:r>
          </w:p>
          <w:p>
            <w:pPr>
              <w:spacing w:before="20" w:after="40"/>
              <w:jc w:val="center"/>
            </w:pPr>
            <w:r>
              <w:rPr>
                <w:rFonts w:ascii="Segoe UI" w:hAnsi="Segoe UI" w:eastAsia="微软雅黑" w:cs="Segoe UI"/>
                <w:b w:val="0"/>
                <w:color w:val="C04722"/>
                <w:sz w:val="16"/>
              </w:rPr>
              <w:t>小计</w:t>
              <w:br/>
              <w:t>¥ 615</w:t>
            </w:r>
          </w:p>
        </w:tc>
        <w:tc>
          <w:tcPr>
            <w:tcW w:type="dxa" w:w="3118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Polar H10 心率带（BLE，含 RR 间期）</w:t>
            </w:r>
          </w:p>
        </w:tc>
        <w:tc>
          <w:tcPr>
            <w:tcW w:type="dxa" w:w="567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520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520</w:t>
            </w:r>
          </w:p>
        </w:tc>
        <w:tc>
          <w:tcPr>
            <w:tcW w:type="dxa" w:w="2693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HRV 与唤醒度主信号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Grove GSR 皮肤电传感器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95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95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唤醒度辅助（可选）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6" w:space="0" w:color="9FB3CC"/>
            </w:tcBorders>
            <w:shd w:val="clear" w:color="auto" w:fill="F2F6FB"/>
          </w:tcPr>
          <w:p>
            <w:pPr>
              <w:spacing w:before="4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  <w:r>
              <w:rPr>
                <w:rFonts w:ascii="Segoe UI" w:hAnsi="Segoe UI" w:eastAsia="黑体" w:cs="Segoe UI"/>
                <w:b/>
                <w:color w:val="1F3864"/>
                <w:sz w:val="17"/>
              </w:rPr>
              <w:t>车辆</w:t>
              <w:br/>
              <w:t>信号</w:t>
            </w:r>
          </w:p>
          <w:p>
            <w:pPr>
              <w:spacing w:before="20" w:after="40"/>
              <w:jc w:val="center"/>
            </w:pPr>
            <w:r>
              <w:rPr>
                <w:rFonts w:ascii="Segoe UI" w:hAnsi="Segoe UI" w:eastAsia="微软雅黑" w:cs="Segoe UI"/>
                <w:b w:val="0"/>
                <w:color w:val="C04722"/>
                <w:sz w:val="16"/>
              </w:rPr>
              <w:t>小计</w:t>
              <w:br/>
              <w:t>¥ 185</w:t>
            </w:r>
          </w:p>
        </w:tc>
        <w:tc>
          <w:tcPr>
            <w:tcW w:type="dxa" w:w="3118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ELM327 OBD-II 蓝牙适配器</w:t>
            </w:r>
          </w:p>
        </w:tc>
        <w:tc>
          <w:tcPr>
            <w:tcW w:type="dxa" w:w="567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35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35</w:t>
            </w:r>
          </w:p>
        </w:tc>
        <w:tc>
          <w:tcPr>
            <w:tcW w:type="dxa" w:w="2693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车速、踏板、转向灯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USB-CAN 分析仪（MCP2515 / CANable）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150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150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直读 CAN 帧（需车型支持）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6" w:space="0" w:color="9FB3CC"/>
            </w:tcBorders>
            <w:shd w:val="clear" w:color="auto" w:fill="F2F6FB"/>
          </w:tcPr>
          <w:p>
            <w:pPr>
              <w:spacing w:before="4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  <w:r>
              <w:rPr>
                <w:rFonts w:ascii="Segoe UI" w:hAnsi="Segoe UI" w:eastAsia="黑体" w:cs="Segoe UI"/>
                <w:b/>
                <w:color w:val="1F3864"/>
                <w:sz w:val="17"/>
              </w:rPr>
              <w:t>预警</w:t>
              <w:br/>
              <w:t>执行</w:t>
            </w:r>
          </w:p>
          <w:p>
            <w:pPr>
              <w:spacing w:before="20" w:after="40"/>
              <w:jc w:val="center"/>
            </w:pPr>
            <w:r>
              <w:rPr>
                <w:rFonts w:ascii="Segoe UI" w:hAnsi="Segoe UI" w:eastAsia="微软雅黑" w:cs="Segoe UI"/>
                <w:b w:val="0"/>
                <w:color w:val="C04722"/>
                <w:sz w:val="16"/>
              </w:rPr>
              <w:t>小计</w:t>
              <w:br/>
              <w:t>¥ 109</w:t>
            </w:r>
          </w:p>
        </w:tc>
        <w:tc>
          <w:tcPr>
            <w:tcW w:type="dxa" w:w="3118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DFPlayer Mini MP3 模块 + TF 卡</w:t>
            </w:r>
          </w:p>
        </w:tc>
        <w:tc>
          <w:tcPr>
            <w:tcW w:type="dxa" w:w="567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28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28</w:t>
            </w:r>
          </w:p>
        </w:tc>
        <w:tc>
          <w:tcPr>
            <w:tcW w:type="dxa" w:w="2693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语音播报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 W / 8 Ω 喇叭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10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语音输出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WS2812B 灯环（24 灯）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25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25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注意力引导与等级颜色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有源蜂鸣器模块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5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5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最低等级提示音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扁平振动马达 1027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4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4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16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方向盘 2 + 座椅 2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振动马达驱动板（MOS 阵列）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15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15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PWM 驱动与电气隔离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6" w:space="0" w:color="9FB3CC"/>
            </w:tcBorders>
            <w:shd w:val="clear" w:color="auto" w:fill="F2F6FB"/>
          </w:tcPr>
          <w:p>
            <w:pPr>
              <w:spacing w:before="4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  <w:r>
              <w:rPr>
                <w:rFonts w:ascii="Segoe UI" w:hAnsi="Segoe UI" w:eastAsia="黑体" w:cs="Segoe UI"/>
                <w:b/>
                <w:color w:val="1F3864"/>
                <w:sz w:val="17"/>
              </w:rPr>
              <w:t>电源</w:t>
              <w:br/>
              <w:t>与结构</w:t>
            </w:r>
          </w:p>
          <w:p>
            <w:pPr>
              <w:spacing w:before="20" w:after="40"/>
              <w:jc w:val="center"/>
            </w:pPr>
            <w:r>
              <w:rPr>
                <w:rFonts w:ascii="Segoe UI" w:hAnsi="Segoe UI" w:eastAsia="微软雅黑" w:cs="Segoe UI"/>
                <w:b w:val="0"/>
                <w:color w:val="C04722"/>
                <w:sz w:val="16"/>
              </w:rPr>
              <w:t>小计</w:t>
              <w:br/>
              <w:t>¥ 386</w:t>
            </w:r>
          </w:p>
        </w:tc>
        <w:tc>
          <w:tcPr>
            <w:tcW w:type="dxa" w:w="3118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12 V→5 V / 5 A 同步降压模块</w:t>
            </w:r>
          </w:p>
        </w:tc>
        <w:tc>
          <w:tcPr>
            <w:tcW w:type="dxa" w:w="567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18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36</w:t>
            </w:r>
          </w:p>
        </w:tc>
        <w:tc>
          <w:tcPr>
            <w:tcW w:type="dxa" w:w="2693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主控与执行器供电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保险丝座 + 5 A 保险丝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10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车载取电保护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TVS / 防反接二极管模块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15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15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浪涌与反接保护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3D 打印结构件（外壳、相机支架、夹具）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200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200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外协打印，含迭代两次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万向球头支架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25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75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相机角度微调与锁紧</w:t>
            </w:r>
          </w:p>
        </w:tc>
      </w:tr>
      <w:tr>
        <w:trPr>
          <w:cantSplit/>
        </w:trPr>
        <w:tc>
          <w:tcPr>
            <w:tcW w:type="dxa" w:w="1276"/>
            <w:shd w:val="clear" w:color="auto" w:fill="F2F6FB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</w:p>
        </w:tc>
        <w:tc>
          <w:tcPr>
            <w:tcW w:type="dxa" w:w="311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杜邦线 / 端子 / 扎带 / 热缩管</w:t>
            </w:r>
          </w:p>
        </w:tc>
        <w:tc>
          <w:tcPr>
            <w:tcW w:type="dxa" w:w="56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50</w:t>
            </w:r>
          </w:p>
        </w:tc>
        <w:tc>
          <w:tcPr>
            <w:tcW w:type="dxa" w:w="76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50</w:t>
            </w:r>
          </w:p>
        </w:tc>
        <w:tc>
          <w:tcPr>
            <w:tcW w:type="dxa" w:w="2693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线束与整理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6" w:space="0" w:color="9FB3CC"/>
            </w:tcBorders>
            <w:shd w:val="clear" w:color="auto" w:fill="F2F6FB"/>
          </w:tcPr>
          <w:p>
            <w:pPr>
              <w:spacing w:before="4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</w:r>
            <w:r>
              <w:rPr>
                <w:rFonts w:ascii="Segoe UI" w:hAnsi="Segoe UI" w:eastAsia="黑体" w:cs="Segoe UI"/>
                <w:b/>
                <w:color w:val="1F3864"/>
                <w:sz w:val="17"/>
              </w:rPr>
              <w:t>显示</w:t>
            </w:r>
          </w:p>
          <w:p>
            <w:pPr>
              <w:spacing w:before="20" w:after="40"/>
              <w:jc w:val="center"/>
            </w:pPr>
            <w:r>
              <w:rPr>
                <w:rFonts w:ascii="Segoe UI" w:hAnsi="Segoe UI" w:eastAsia="微软雅黑" w:cs="Segoe UI"/>
                <w:b w:val="0"/>
                <w:color w:val="C04722"/>
                <w:sz w:val="16"/>
              </w:rPr>
              <w:t>小计</w:t>
              <w:br/>
              <w:t>¥ 380</w:t>
            </w:r>
          </w:p>
        </w:tc>
        <w:tc>
          <w:tcPr>
            <w:tcW w:type="dxa" w:w="3118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10.1″ HDMI 车载显示屏（含驱动板）</w:t>
            </w:r>
          </w:p>
        </w:tc>
        <w:tc>
          <w:tcPr>
            <w:tcW w:type="dxa" w:w="567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380</w:t>
            </w:r>
          </w:p>
        </w:tc>
        <w:tc>
          <w:tcPr>
            <w:tcW w:type="dxa" w:w="765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380</w:t>
            </w:r>
          </w:p>
        </w:tc>
        <w:tc>
          <w:tcPr>
            <w:tcW w:type="dxa" w:w="2693"/>
            <w:tcBorders>
              <w:top w:val="single" w:sz="6" w:space="0" w:color="9FB3CC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HMI 呈现与现场调试</w:t>
            </w:r>
          </w:p>
        </w:tc>
      </w:tr>
      <w:tr>
        <w:trPr>
          <w:cantSplit/>
        </w:trPr>
        <w:tc>
          <w:tcPr>
            <w:tcW w:type="dxa" w:w="5726"/>
            <w:gridSpan w:val="4"/>
            <w:shd w:val="clear" w:color="auto" w:fill="C04722"/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黑体" w:cs="Segoe UI"/>
                <w:b/>
                <w:color w:val="FFFFFF"/>
                <w:sz w:val="17"/>
              </w:rPr>
              <w:t>合计</w:t>
            </w:r>
          </w:p>
        </w:tc>
        <w:tc>
          <w:tcPr>
            <w:tcW w:type="dxa" w:w="765"/>
            <w:shd w:val="clear" w:color="auto" w:fill="FBF3EE"/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C04722"/>
                <w:sz w:val="17"/>
              </w:rPr>
              <w:t>3 258</w:t>
            </w:r>
          </w:p>
        </w:tc>
        <w:tc>
          <w:tcPr>
            <w:tcW w:type="dxa" w:w="2693"/>
            <w:shd w:val="clear" w:color="auto" w:fill="FBF3EE"/>
          </w:tcPr>
          <w:p>
            <w:pPr>
              <w:spacing w:before="60" w:after="60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原型整机成本（不含备用件与耗材）</w:t>
            </w:r>
          </w:p>
        </w:tc>
      </w:tr>
    </w:tbl>
    <w:p>
      <w:pPr>
        <w:spacing w:after="0" w:line="144" w:lineRule="auto"/>
      </w:pPr>
    </w:p>
    <w:p>
      <w:pPr>
        <w:spacing w:before="40" w:after="200"/>
      </w:pPr>
      <w:r>
        <w:rPr>
          <w:rFonts w:ascii="Segoe UI" w:hAnsi="Segoe UI" w:eastAsia="宋体" w:cs="Segoe UI"/>
          <w:b w:val="0"/>
          <w:color w:val="596674"/>
          <w:sz w:val="17"/>
        </w:rPr>
        <w:t>说明：含 10% 备用件与耗材余量后约 ¥3 600。若按最低配置（去车载屏、心率带、USB-CAN，心率改用 MAX30102 指夹），整机可压到 ¥1 700 左右，可作为“极限低成本版”另行演示。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4.6</w:t>
      </w:r>
      <w:r>
        <w:rPr>
          <w:rFonts w:ascii="Segoe UI" w:hAnsi="Segoe UI" w:eastAsia="黑体" w:cs="Segoe UI"/>
          <w:b/>
          <w:color w:val="1F3864"/>
          <w:sz w:val="26"/>
        </w:rPr>
        <w:t xml:space="preserve">  模拟座舱台架清单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台架是完成被试实验的前提。我们自己搭一半、借一半：主机与显示可用实验室资产，方向盘、座椅、型材自购，总投入约 8 700 元，其中真正必须新买的不到 2 500 元。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9   硬件在环座舱台架清单</w:t>
      </w:r>
    </w:p>
    <w:tbl>
      <w:tblPr>
        <w:tblStyle w:val="TableGrid"/>
        <w:tblW w:w="9184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814"/>
        <w:gridCol w:w="3061"/>
        <w:gridCol w:w="794"/>
        <w:gridCol w:w="1020"/>
        <w:gridCol w:w="2494"/>
      </w:tblGrid>
      <w:tr>
        <w:trPr>
          <w:cantSplit/>
          <w:tblHeader w:val="true"/>
        </w:trPr>
        <w:tc>
          <w:tcPr>
            <w:tcW w:type="dxa" w:w="181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06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规格</w:t>
            </w:r>
          </w:p>
        </w:tc>
        <w:tc>
          <w:tcPr>
            <w:tcW w:type="dxa" w:w="79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1020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参考价</w:t>
            </w:r>
          </w:p>
        </w:tc>
        <w:tc>
          <w:tcPr>
            <w:tcW w:type="dxa" w:w="249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力反馈方向盘套装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罗技 G29（含三踏板）</w:t>
            </w:r>
          </w:p>
        </w:tc>
        <w:tc>
          <w:tcPr>
            <w:tcW w:type="dxa" w:w="79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 套</w:t>
            </w:r>
          </w:p>
        </w:tc>
        <w:tc>
          <w:tcPr>
            <w:tcW w:type="dxa" w:w="1020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¥1 699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提供真实转向手感与踏板开度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汽车座椅</w:t>
            </w:r>
          </w:p>
        </w:tc>
        <w:tc>
          <w:tcPr>
            <w:tcW w:type="dxa" w:w="306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二手拆车主驾座椅</w:t>
            </w:r>
          </w:p>
        </w:tc>
        <w:tc>
          <w:tcPr>
            <w:tcW w:type="dxa" w:w="79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 个</w:t>
            </w:r>
          </w:p>
        </w:tc>
        <w:tc>
          <w:tcPr>
            <w:tcW w:type="dxa" w:w="1020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¥300</w:t>
            </w:r>
          </w:p>
        </w:tc>
        <w:tc>
          <w:tcPr>
            <w:tcW w:type="dxa" w:w="249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真实坐姿与体压分布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铝型材框架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4040 型材 + 角件 + 脚轮</w:t>
            </w:r>
          </w:p>
        </w:tc>
        <w:tc>
          <w:tcPr>
            <w:tcW w:type="dxa" w:w="79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 套</w:t>
            </w:r>
          </w:p>
        </w:tc>
        <w:tc>
          <w:tcPr>
            <w:tcW w:type="dxa" w:w="1020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¥400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座舱骨架，可拆装搬运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视景显示</w:t>
            </w:r>
          </w:p>
        </w:tc>
        <w:tc>
          <w:tcPr>
            <w:tcW w:type="dxa" w:w="306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24″ 显示器 ×3（或 55″ 电视 ×1）</w:t>
            </w:r>
          </w:p>
        </w:tc>
        <w:tc>
          <w:tcPr>
            <w:tcW w:type="dxa" w:w="79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 套</w:t>
            </w:r>
          </w:p>
        </w:tc>
        <w:tc>
          <w:tcPr>
            <w:tcW w:type="dxa" w:w="1020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¥1 600</w:t>
            </w:r>
          </w:p>
        </w:tc>
        <w:tc>
          <w:tcPr>
            <w:tcW w:type="dxa" w:w="249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三屏覆盖前方视野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仿真主机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独显（RTX 4060 级）+ 32 GB</w:t>
            </w:r>
          </w:p>
        </w:tc>
        <w:tc>
          <w:tcPr>
            <w:tcW w:type="dxa" w:w="794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 台</w:t>
            </w:r>
          </w:p>
        </w:tc>
        <w:tc>
          <w:tcPr>
            <w:tcW w:type="dxa" w:w="1020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¥4 500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跑 CARLA，可用实验室资产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接口与软件</w:t>
            </w:r>
          </w:p>
        </w:tc>
        <w:tc>
          <w:tcPr>
            <w:tcW w:type="dxa" w:w="306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Logitech SDK / vJoy 虚拟手柄</w:t>
            </w:r>
          </w:p>
        </w:tc>
        <w:tc>
          <w:tcPr>
            <w:tcW w:type="dxa" w:w="794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—</w:t>
            </w:r>
          </w:p>
        </w:tc>
        <w:tc>
          <w:tcPr>
            <w:tcW w:type="dxa" w:w="1020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免费</w:t>
            </w:r>
          </w:p>
        </w:tc>
        <w:tc>
          <w:tcPr>
            <w:tcW w:type="dxa" w:w="249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把方向盘与踏板送入 CARLA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环境控制</w:t>
            </w:r>
          </w:p>
        </w:tc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遮光帘 + 可调色温 LED 灯</w:t>
            </w:r>
          </w:p>
        </w:tc>
        <w:tc>
          <w:tcPr>
            <w:tcW w:type="dxa" w:w="794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 套</w:t>
            </w:r>
          </w:p>
        </w:tc>
        <w:tc>
          <w:tcPr>
            <w:tcW w:type="dxa" w:w="1020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¥200</w:t>
            </w:r>
          </w:p>
        </w:tc>
        <w:tc>
          <w:tcPr>
            <w:tcW w:type="dxa" w:w="2494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模拟昼夜与隧道进出光照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4.7</w:t>
      </w:r>
      <w:r>
        <w:rPr>
          <w:rFonts w:ascii="Segoe UI" w:hAnsi="Segoe UI" w:eastAsia="黑体" w:cs="Segoe UI"/>
          <w:b/>
          <w:color w:val="1F3864"/>
          <w:sz w:val="26"/>
        </w:rPr>
        <w:t xml:space="preserve">  软件架构与时延预算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软件采用 ROS 2 的节点化设计，每个功能独立成一个节点，用话题（topic）串起来。这样做的直接好处是：调试时可以单独录一个话题离线回放，演示时可以只启动需要的节点，出问题时能快速定位到某一段。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10   ROS 2 节点划分</w:t>
      </w:r>
    </w:p>
    <w:tbl>
      <w:tblPr>
        <w:tblStyle w:val="TableGrid"/>
        <w:tblW w:w="8731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644"/>
        <w:gridCol w:w="2608"/>
        <w:gridCol w:w="3572"/>
        <w:gridCol w:w="907"/>
      </w:tblGrid>
      <w:tr>
        <w:trPr>
          <w:cantSplit/>
          <w:tblHeader w:val="true"/>
        </w:trPr>
        <w:tc>
          <w:tcPr>
            <w:tcW w:type="dxa" w:w="164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260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输入 → 输出</w:t>
            </w:r>
          </w:p>
        </w:tc>
        <w:tc>
          <w:tcPr>
            <w:tcW w:type="dxa" w:w="3572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907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频率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/cam_driver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V4L2 → sensor_msgs/Image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三路相机取流与时间戳对齐</w:t>
            </w:r>
          </w:p>
        </w:tc>
        <w:tc>
          <w:tcPr>
            <w:tcW w:type="dxa" w:w="90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30–60 Hz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/dms_vision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Image → 关键点与头部姿态</w:t>
            </w:r>
          </w:p>
        </w:tc>
        <w:tc>
          <w:tcPr>
            <w:tcW w:type="dxa" w:w="3572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人脸/关键点检测、视线角估计、眼动特征</w:t>
            </w:r>
          </w:p>
        </w:tc>
        <w:tc>
          <w:tcPr>
            <w:tcW w:type="dxa" w:w="90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25 Hz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/dms_feature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关键点 → 特征向量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PERCLOS、离路时长、手部位置、坐姿倾角</w:t>
            </w:r>
          </w:p>
        </w:tc>
        <w:tc>
          <w:tcPr>
            <w:tcW w:type="dxa" w:w="90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10 Hz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/dms_bio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BLE / ADC → 生理特征</w:t>
            </w:r>
          </w:p>
        </w:tc>
        <w:tc>
          <w:tcPr>
            <w:tcW w:type="dxa" w:w="3572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HRV、皮肤电、体压分布</w:t>
            </w:r>
          </w:p>
        </w:tc>
        <w:tc>
          <w:tcPr>
            <w:tcW w:type="dxa" w:w="90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1–20 Hz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/vehicle_bridge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OBD / CAN → 车辆状态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车速、转角、踏板、转向灯</w:t>
            </w:r>
          </w:p>
        </w:tc>
        <w:tc>
          <w:tcPr>
            <w:tcW w:type="dxa" w:w="90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10–50 Hz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/dtr_fusion</w:t>
            </w:r>
          </w:p>
        </w:tc>
        <w:tc>
          <w:tcPr>
            <w:tcW w:type="dxa" w:w="260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多路特征 → DTR + u + T_est</w:t>
            </w:r>
          </w:p>
        </w:tc>
        <w:tc>
          <w:tcPr>
            <w:tcW w:type="dxa" w:w="3572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质量门控、证据融合、时间预算估计</w:t>
            </w:r>
          </w:p>
        </w:tc>
        <w:tc>
          <w:tcPr>
            <w:tcW w:type="dxa" w:w="90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10 Hz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/warning_mgr</w:t>
            </w:r>
          </w:p>
        </w:tc>
        <w:tc>
          <w:tcPr>
            <w:tcW w:type="dxa" w:w="260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DTR, T_est → 指令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四级状态机、回滞、接管确认</w:t>
            </w:r>
          </w:p>
        </w:tc>
        <w:tc>
          <w:tcPr>
            <w:tcW w:type="dxa" w:w="90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20 Hz</w:t>
            </w:r>
          </w:p>
        </w:tc>
      </w:tr>
      <w:tr>
        <w:trPr>
          <w:cantSplit/>
        </w:trPr>
        <w:tc>
          <w:tcPr>
            <w:tcW w:type="dxa" w:w="1644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/actuator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指令 → 硬件动作</w:t>
            </w:r>
          </w:p>
        </w:tc>
        <w:tc>
          <w:tcPr>
            <w:tcW w:type="dxa" w:w="3572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语音、灯环、振动马达、CAN 请求</w:t>
            </w:r>
          </w:p>
        </w:tc>
        <w:tc>
          <w:tcPr>
            <w:tcW w:type="dxa" w:w="907"/>
            <w:shd w:val="clear" w:color="auto" w:fill="F4F7FB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即时</w:t>
            </w:r>
          </w:p>
        </w:tc>
      </w:tr>
    </w:tbl>
    <w:p>
      <w:pPr>
        <w:spacing w:before="0" w:after="0" w:line="144" w:lineRule="auto"/>
      </w:pP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时延是实时性的硬约束。按节点逐一累加，端到端预算约 67 ms，相对 120 ms 的目标留了近一半余量，可以容忍一次掉帧。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11   端到端时延预算</w:t>
      </w:r>
    </w:p>
    <w:tbl>
      <w:tblPr>
        <w:tblStyle w:val="TableGrid"/>
        <w:tblW w:w="8050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928"/>
        <w:gridCol w:w="4422"/>
        <w:gridCol w:w="1701"/>
      </w:tblGrid>
      <w:tr>
        <w:trPr>
          <w:cantSplit/>
          <w:tblHeader w:val="true"/>
        </w:trPr>
        <w:tc>
          <w:tcPr>
            <w:tcW w:type="dxa" w:w="192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4422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处理内容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预算时延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采集与取帧</w:t>
            </w:r>
          </w:p>
        </w:tc>
        <w:tc>
          <w:tcPr>
            <w:tcW w:type="dxa" w:w="442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相机曝光、USB 传输、时间戳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15 ms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预处理</w:t>
            </w:r>
          </w:p>
        </w:tc>
        <w:tc>
          <w:tcPr>
            <w:tcW w:type="dxa" w:w="4422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缩放、ROI 裁剪、去噪、亮度归一</w:t>
            </w:r>
          </w:p>
        </w:tc>
        <w:tc>
          <w:tcPr>
            <w:tcW w:type="dxa" w:w="1701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8 ms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视觉推理（NPU）</w:t>
            </w:r>
          </w:p>
        </w:tc>
        <w:tc>
          <w:tcPr>
            <w:tcW w:type="dxa" w:w="442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人脸检测 + 关键点 + 头部姿态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25 ms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特征计算</w:t>
            </w:r>
          </w:p>
        </w:tc>
        <w:tc>
          <w:tcPr>
            <w:tcW w:type="dxa" w:w="4422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视线角、PERCLOS、手部离位判定</w:t>
            </w:r>
          </w:p>
        </w:tc>
        <w:tc>
          <w:tcPr>
            <w:tcW w:type="dxa" w:w="1701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5 ms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融合与预测</w:t>
            </w:r>
          </w:p>
        </w:tc>
        <w:tc>
          <w:tcPr>
            <w:tcW w:type="dxa" w:w="442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DTR 融合、T_est 估计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2 ms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决策与触发</w:t>
            </w:r>
          </w:p>
        </w:tc>
        <w:tc>
          <w:tcPr>
            <w:tcW w:type="dxa" w:w="4422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状态机跳转、通道选择</w:t>
            </w:r>
          </w:p>
        </w:tc>
        <w:tc>
          <w:tcPr>
            <w:tcW w:type="dxa" w:w="1701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2 ms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执行器响应</w:t>
            </w:r>
          </w:p>
        </w:tc>
        <w:tc>
          <w:tcPr>
            <w:tcW w:type="dxa" w:w="442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串口 / PWM / CAN 下发到动作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10 ms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合计</w:t>
            </w:r>
          </w:p>
        </w:tc>
        <w:tc>
          <w:tcPr>
            <w:tcW w:type="dxa" w:w="4422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相对目标 120 ms 留有余量</w:t>
            </w:r>
          </w:p>
        </w:tc>
        <w:tc>
          <w:tcPr>
            <w:tcW w:type="dxa" w:w="1701"/>
            <w:shd w:val="clear" w:color="auto" w:fill="F4F7FB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≈ 67 ms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4.8</w:t>
      </w:r>
      <w:r>
        <w:rPr>
          <w:rFonts w:ascii="Segoe UI" w:hAnsi="Segoe UI" w:eastAsia="黑体" w:cs="Segoe UI"/>
          <w:b/>
          <w:color w:val="1F3864"/>
          <w:sz w:val="26"/>
        </w:rPr>
        <w:t xml:space="preserve">  现场演示脚本（90 秒）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答辩现场的演示时间通常不超过两分钟，必须把“最不像学生作品”的部分放在最前面。下面这条脚本经过设计，确保在 90 秒内同时展示分级、闭环和降级三件事。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12   答辩现场演示脚本</w:t>
      </w:r>
    </w:p>
    <w:tbl>
      <w:tblPr>
        <w:tblStyle w:val="TableGrid"/>
        <w:tblW w:w="8731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850"/>
        <w:gridCol w:w="2041"/>
        <w:gridCol w:w="3345"/>
        <w:gridCol w:w="2494"/>
      </w:tblGrid>
      <w:tr>
        <w:trPr>
          <w:cantSplit/>
          <w:tblHeader w:val="true"/>
        </w:trPr>
        <w:tc>
          <w:tcPr>
            <w:tcW w:type="dxa" w:w="850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204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345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系统表现</w:t>
            </w:r>
          </w:p>
        </w:tc>
        <w:tc>
          <w:tcPr>
            <w:tcW w:type="dxa" w:w="249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讲解要点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0–15 s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正常驾驶，双手握盘、目视前方</w:t>
            </w:r>
          </w:p>
        </w:tc>
        <w:tc>
          <w:tcPr>
            <w:tcW w:type="dxa" w:w="334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HMI 绿色，DTR ≈ 0.85，界面在“建立个体基线”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“系统在静默学习你的习惯，不打扰”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15–30 s</w:t>
            </w:r>
          </w:p>
        </w:tc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拿起手机低头看 6 s</w:t>
            </w:r>
          </w:p>
        </w:tc>
        <w:tc>
          <w:tcPr>
            <w:tcW w:type="dxa" w:w="334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L1 图标提示 → 6 s 后升 L2，方向盘振动，灯环转橙，语音“请关注路面”</w:t>
            </w:r>
          </w:p>
        </w:tc>
        <w:tc>
          <w:tcPr>
            <w:tcW w:type="dxa" w:w="249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“它在算你还来不来得及，而不是只说你分心”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30–45 s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低头闭眼、双手离开方向盘</w:t>
            </w:r>
          </w:p>
        </w:tc>
        <w:tc>
          <w:tcPr>
            <w:tcW w:type="dxa" w:w="334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L3：座椅振动 + “请立即接管”，2 s 未响应 → 自动降速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“时间窗被吃满，系统必须自己兜底”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45–60 s</w:t>
            </w:r>
          </w:p>
        </w:tc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双手回盘、抬头看路</w:t>
            </w:r>
          </w:p>
        </w:tc>
        <w:tc>
          <w:tcPr>
            <w:tcW w:type="dxa" w:w="334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识别到接管确认（视线 + 手 + 脚），回 L1 → L0，灯环转绿</w:t>
            </w:r>
          </w:p>
        </w:tc>
        <w:tc>
          <w:tcPr>
            <w:tcW w:type="dxa" w:w="249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“它验证你真的回来了，不是响一声就算完”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60–80 s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用纸片遮住 RGB 摄像头</w:t>
            </w:r>
          </w:p>
        </w:tc>
        <w:tc>
          <w:tcPr>
            <w:tcW w:type="dxa" w:w="334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视觉置信度掉线 → 自动切红外 + 握持 + 心率，DTR 继续输出，不确定度条变长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“主模态失效，系统不会哑掉”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4F7FB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80–90 s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切到 CARLA 隧道逆光画面</w:t>
            </w:r>
          </w:p>
        </w:tc>
        <w:tc>
          <w:tcPr>
            <w:tcW w:type="dxa" w:w="334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同一套算法在 HIL 里实时运行，输出连续 DTR 曲线</w:t>
            </w:r>
          </w:p>
        </w:tc>
        <w:tc>
          <w:tcPr>
            <w:tcW w:type="dxa" w:w="2494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“危险场景我们不赌运气，用仿真重复它”</w:t>
            </w:r>
          </w:p>
        </w:tc>
      </w:tr>
    </w:tbl>
    <w:p>
      <w:pPr>
        <w:spacing w:before="0" w:after="0" w:line="144" w:lineRule="auto"/>
      </w:pPr>
    </w:p>
    <w:tbl>
      <w:tblPr>
        <w:tblW w:w="8844" w:type="dxa"/>
        <w:jc w:val="center"/>
        <w:tblBorders>
          <w:top w:val="nil"/>
          <w:bottom w:val="nil"/>
          <w:right w:val="nil"/>
          <w:insideH w:val="nil"/>
          <w:insideV w:val="nil"/>
          <w:left w:val="single" w:sz="24" w:space="0" w:color="1F3864"/>
        </w:tblBorders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val="clear" w:color="auto" w:fill="F2F6FB"/>
          </w:tcPr>
          <w:p>
            <w:pPr>
              <w:spacing w:before="20" w:after="60" w:line="312" w:lineRule="auto"/>
            </w:pPr>
            <w:r/>
            <w:r>
              <w:rPr>
                <w:rFonts w:ascii="Segoe UI" w:hAnsi="Segoe UI" w:eastAsia="黑体" w:cs="Segoe UI"/>
                <w:b/>
                <w:color w:val="1F3864"/>
                <w:sz w:val="21"/>
              </w:rPr>
              <w:t>演示设计的三条纪律</w:t>
            </w:r>
          </w:p>
          <w:p>
            <w:pPr>
              <w:spacing w:before="0" w:after="20" w:line="341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color w:val="1A202C"/>
                <w:sz w:val="21"/>
              </w:rPr>
              <w:t>第一，先演“失效”，再演“正常”——评委记住的是你处理异常的能力；第二，每个动作都对应一句“所以我们的创新点是……”，不要只演不讲；第三，永远准备一个“录屏兜底”版本，现场设备故障时直接播视频，不浪费答辩时间。</w:t>
            </w:r>
          </w:p>
        </w:tc>
      </w:tr>
    </w:tbl>
    <w:p>
      <w:pPr>
        <w:spacing w:before="0" w:after="80" w:line="144" w:lineRule="auto"/>
      </w:pPr>
    </w:p>
    <w:p>
      <w:pPr>
        <w:pStyle w:val="Heading1"/>
        <w:keepNext/>
        <w:spacing w:before="400" w:after="200" w:line="288" w:lineRule="auto"/>
        <w:pBdr>
          <w:bottom w:val="single" w:sz="12" w:space="4" w:color="1F3864"/>
        </w:pBdr>
      </w:pPr>
      <w:r>
        <w:rPr>
          <w:rFonts w:ascii="Segoe UI" w:hAnsi="Segoe UI" w:eastAsia="黑体" w:cs="Segoe UI"/>
          <w:b/>
          <w:color w:val="1F3864"/>
          <w:sz w:val="38"/>
        </w:rPr>
        <w:t>第五章</w:t>
      </w:r>
      <w:r>
        <w:rPr>
          <w:rFonts w:ascii="Segoe UI" w:hAnsi="Segoe UI" w:eastAsia="黑体" w:cs="Segoe UI"/>
          <w:b/>
          <w:color w:val="1F3864"/>
          <w:sz w:val="34"/>
        </w:rPr>
        <w:t xml:space="preserve">  仿真与验证方案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一个只有“能跑”没有“能证明”的方案，在答辩时撑不过第二个问题。本章回答：我们用什么数据、在什么平台上、做什么实验、拿什么指标说话。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5.1</w:t>
      </w:r>
      <w:r>
        <w:rPr>
          <w:rFonts w:ascii="Segoe UI" w:hAnsi="Segoe UI" w:eastAsia="黑体" w:cs="Segoe UI"/>
          <w:b/>
          <w:color w:val="1F3864"/>
          <w:sz w:val="26"/>
        </w:rPr>
        <w:t xml:space="preserve">  三层验证体系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三层各司其职，缺一不可：算法级解决“模型对不对”，系统级解决“逻辑通不通”，硬件在环解决“真人在环里管不管用”。三层的数据互相独立，避免自证。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2"/>
        </w:rPr>
        <w:t xml:space="preserve">1. 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算法级（离线）：用公开数据集训练与评测视觉模块，用自采数据做域适应与个体基线，输出准确率、FPR、检测时延。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2"/>
        </w:rPr>
        <w:t xml:space="preserve">2. 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系统级（仿真）：在 CARLA 中构造场景，接一个驾驶员认知模型（含反应时间分布），蒙特卡洛跑上千次 TOR 事件，输出“接管成功率–TOR 提前量”曲线。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2"/>
        </w:rPr>
        <w:t xml:space="preserve">3. 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硬件在环（HIL）：真人在座舱里开，真传感器采真人，边缘设备跑真算法，形成完整闭环，输出可标定 T_est 与分级阈值的实测数据。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5.2</w:t>
      </w:r>
      <w:r>
        <w:rPr>
          <w:rFonts w:ascii="Segoe UI" w:hAnsi="Segoe UI" w:eastAsia="黑体" w:cs="Segoe UI"/>
          <w:b/>
          <w:color w:val="1F3864"/>
          <w:sz w:val="26"/>
        </w:rPr>
        <w:t xml:space="preserve">  算法级：数据集与评测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公开数据集只作为基线，不作为卖点。选它们的原因是覆盖了不同的模态与场景，可以分别支撑三个维度。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13   训练与评测数据集</w:t>
      </w:r>
    </w:p>
    <w:tbl>
      <w:tblPr>
        <w:tblStyle w:val="TableGrid"/>
        <w:tblW w:w="9071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361"/>
        <w:gridCol w:w="4309"/>
        <w:gridCol w:w="1361"/>
        <w:gridCol w:w="2041"/>
      </w:tblGrid>
      <w:tr>
        <w:trPr>
          <w:cantSplit/>
          <w:tblHeader w:val="true"/>
        </w:trPr>
        <w:tc>
          <w:tcPr>
            <w:tcW w:type="dxa" w:w="136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数据集</w:t>
            </w:r>
          </w:p>
        </w:tc>
        <w:tc>
          <w:tcPr>
            <w:tcW w:type="dxa" w:w="4309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内容与规模</w:t>
            </w:r>
          </w:p>
        </w:tc>
        <w:tc>
          <w:tcPr>
            <w:tcW w:type="dxa" w:w="136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支撑维度</w:t>
            </w:r>
          </w:p>
        </w:tc>
        <w:tc>
          <w:tcPr>
            <w:tcW w:type="dxa" w:w="204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AUC-DD</w:t>
            </w:r>
          </w:p>
        </w:tc>
        <w:tc>
          <w:tcPr>
            <w:tcW w:type="dxa" w:w="4309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约 1.7 万帧，10 类驾驶行为（打电话、喝水、调音响等）</w:t>
            </w:r>
          </w:p>
        </w:tc>
        <w:tc>
          <w:tcPr>
            <w:tcW w:type="dxa" w:w="136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A 注意力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分心分类基线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StateFarm</w:t>
            </w:r>
          </w:p>
        </w:tc>
        <w:tc>
          <w:tcPr>
            <w:tcW w:type="dxa" w:w="4309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约 10 万张，10 类分心动作</w:t>
            </w:r>
          </w:p>
        </w:tc>
        <w:tc>
          <w:tcPr>
            <w:tcW w:type="dxa" w:w="136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A 注意力</w:t>
            </w:r>
          </w:p>
        </w:tc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分类模型预训练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NTHU-DDD</w:t>
            </w:r>
          </w:p>
        </w:tc>
        <w:tc>
          <w:tcPr>
            <w:tcW w:type="dxa" w:w="4309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多机位 RGB + 红外，含打哈欠、闭眼、点头，含夜间与戴镜样本</w:t>
            </w:r>
          </w:p>
        </w:tc>
        <w:tc>
          <w:tcPr>
            <w:tcW w:type="dxa" w:w="136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V 唤醒度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疲劳检测与跨模态验证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YawDD</w:t>
            </w:r>
          </w:p>
        </w:tc>
        <w:tc>
          <w:tcPr>
            <w:tcW w:type="dxa" w:w="4309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车载视频，含正常、说话、打哈欠三类</w:t>
            </w:r>
          </w:p>
        </w:tc>
        <w:tc>
          <w:tcPr>
            <w:tcW w:type="dxa" w:w="136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V 唤醒度</w:t>
            </w:r>
          </w:p>
        </w:tc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哈欠检测补充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CEW</w:t>
            </w:r>
          </w:p>
        </w:tc>
        <w:tc>
          <w:tcPr>
            <w:tcW w:type="dxa" w:w="4309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约 2 400 张闭眼 / 睁眼图像</w:t>
            </w:r>
          </w:p>
        </w:tc>
        <w:tc>
          <w:tcPr>
            <w:tcW w:type="dxa" w:w="136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V 唤醒度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PERCLOS 阈值校准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自采数据集</w:t>
            </w:r>
          </w:p>
        </w:tc>
        <w:tc>
          <w:tcPr>
            <w:tcW w:type="dxa" w:w="4309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目标 20 人 × 3 种光照 × 4 类次任务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A / V / M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域适应、个体基线、握持检测</w:t>
            </w:r>
          </w:p>
        </w:tc>
      </w:tr>
    </w:tbl>
    <w:p>
      <w:pPr>
        <w:spacing w:before="0" w:after="0" w:line="144" w:lineRule="auto"/>
      </w:pP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自采数据集是本方案区别于“纯调包”作品的关键证据。采集时同步记录摄像头、心率、握持、车辆四路信号，并签署知情同意书；每人先做 3 分钟静息基线，再执行 4 类次任务（朗读、n-back、手机打字、看视频），每种状态重复 3 次，用于估计个体差异的分布。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5.3</w:t>
      </w:r>
      <w:r>
        <w:rPr>
          <w:rFonts w:ascii="Segoe UI" w:hAnsi="Segoe UI" w:eastAsia="黑体" w:cs="Segoe UI"/>
          <w:b/>
          <w:color w:val="1F3864"/>
          <w:sz w:val="26"/>
        </w:rPr>
        <w:t xml:space="preserve">  系统级：CARLA 闭环与蒙特卡洛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CARLA 是开源自动驾驶仿真器，可以直接输出场景视频、车辆状态和事件触发，非常适合构造“必须接管”的场景。我们定义 5 类场景、每类 4 个变体，共 20 个用例：</w:t>
      </w:r>
    </w:p>
    <w:p>
      <w:pPr>
        <w:spacing w:before="20" w:after="60" w:line="360" w:lineRule="auto"/>
        <w:ind w:left="510" w:hanging="312"/>
        <w:jc w:val="both"/>
      </w:pPr>
      <w:r>
        <w:rPr>
          <w:rFonts w:ascii="Times New Roman" w:hAnsi="Times New Roman" w:eastAsia="宋体" w:cs="Times New Roman"/>
          <w:b w:val="0"/>
          <w:color w:val="596674"/>
          <w:sz w:val="22"/>
        </w:rPr>
        <w:t xml:space="preserve">— 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场景一 隧道进出：从明亮环境驶入隧道，再在出口强逆光下触发 TOR。</w:t>
      </w:r>
    </w:p>
    <w:p>
      <w:pPr>
        <w:spacing w:before="20" w:after="60" w:line="360" w:lineRule="auto"/>
        <w:ind w:left="510" w:hanging="312"/>
        <w:jc w:val="both"/>
      </w:pPr>
      <w:r>
        <w:rPr>
          <w:rFonts w:ascii="Times New Roman" w:hAnsi="Times New Roman" w:eastAsia="宋体" w:cs="Times New Roman"/>
          <w:b w:val="0"/>
          <w:color w:val="596674"/>
          <w:sz w:val="22"/>
        </w:rPr>
        <w:t xml:space="preserve">— 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场景二 夜间无照明：只有对向车灯与路灯，验证红外通路与视觉退化。</w:t>
      </w:r>
    </w:p>
    <w:p>
      <w:pPr>
        <w:spacing w:before="20" w:after="60" w:line="360" w:lineRule="auto"/>
        <w:ind w:left="510" w:hanging="312"/>
        <w:jc w:val="both"/>
      </w:pPr>
      <w:r>
        <w:rPr>
          <w:rFonts w:ascii="Times New Roman" w:hAnsi="Times New Roman" w:eastAsia="宋体" w:cs="Times New Roman"/>
          <w:b w:val="0"/>
          <w:color w:val="596674"/>
          <w:sz w:val="22"/>
        </w:rPr>
        <w:t xml:space="preserve">— 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场景三 突发切入：相邻车道车辆在 1.5 s 内 cut-in，系统在 ODD 边界退出。</w:t>
      </w:r>
    </w:p>
    <w:p>
      <w:pPr>
        <w:spacing w:before="20" w:after="60" w:line="360" w:lineRule="auto"/>
        <w:ind w:left="510" w:hanging="312"/>
        <w:jc w:val="both"/>
      </w:pPr>
      <w:r>
        <w:rPr>
          <w:rFonts w:ascii="Times New Roman" w:hAnsi="Times New Roman" w:eastAsia="宋体" w:cs="Times New Roman"/>
          <w:b w:val="0"/>
          <w:color w:val="596674"/>
          <w:sz w:val="22"/>
        </w:rPr>
        <w:t xml:space="preserve">— 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场景四 施工区收窄：锥桶导致车道变窄，需要人接管择道。</w:t>
      </w:r>
    </w:p>
    <w:p>
      <w:pPr>
        <w:spacing w:before="20" w:after="60" w:line="360" w:lineRule="auto"/>
        <w:ind w:left="510" w:hanging="312"/>
        <w:jc w:val="both"/>
      </w:pPr>
      <w:r>
        <w:rPr>
          <w:rFonts w:ascii="Times New Roman" w:hAnsi="Times New Roman" w:eastAsia="宋体" w:cs="Times New Roman"/>
          <w:b w:val="0"/>
          <w:color w:val="596674"/>
          <w:sz w:val="22"/>
        </w:rPr>
        <w:t xml:space="preserve">— 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场景五 传感器遮挡：模拟摄像头被雨滴/泥点/纸片遮挡，验证降级逻辑。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驾驶员侧不接真人，改用一个简化的认知模型：反应时间取对数正态分布（中位数随 DTR 变化），并叠加次任务占用导致的额外延迟。每个用例跑 50 次蒙特卡洛，20 个用例共 1 000 次，得到“接管成功率–TOR 提前量”的关系曲线，作为分级阈值的先验。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5.4</w:t>
      </w:r>
      <w:r>
        <w:rPr>
          <w:rFonts w:ascii="Segoe UI" w:hAnsi="Segoe UI" w:eastAsia="黑体" w:cs="Segoe UI"/>
          <w:b/>
          <w:color w:val="1F3864"/>
          <w:sz w:val="26"/>
        </w:rPr>
        <w:t xml:space="preserve">  硬件在环台架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HIL 是整个方案的技术枢纽：它把“仿真里可以随便复现的危险场景”和“真人真传感器”接在了一起。台架清单见第四章表 9，逻辑关系如下图。</w:t>
      </w:r>
    </w:p>
    <w:p>
      <w:pPr>
        <w:keepNext/>
        <w:spacing w:before="20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29009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h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276" w:lineRule="auto"/>
        <w:jc w:val="center"/>
      </w:pPr>
      <w:r>
        <w:rPr>
          <w:rFonts w:ascii="Segoe UI" w:hAnsi="Segoe UI" w:eastAsia="微软雅黑" w:cs="Segoe UI"/>
          <w:b/>
          <w:color w:val="596674"/>
          <w:sz w:val="18"/>
        </w:rPr>
        <w:t>图 7   硬件在环（HIL）闭环验证结构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条闭环里最容易被忽略、但最关键的是“回灌”那一环：驾驶员因为预警而做出的动作，会通过方向盘与踏板进入车辆模型，改变仿真中的轨迹，从而让下一轮的场景真正因人而变。没有这一环，就只能算“放视频 + 看反应”，算不上硬件在环。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5.5</w:t>
      </w:r>
      <w:r>
        <w:rPr>
          <w:rFonts w:ascii="Segoe UI" w:hAnsi="Segoe UI" w:eastAsia="黑体" w:cs="Segoe UI"/>
          <w:b/>
          <w:color w:val="1F3864"/>
          <w:sz w:val="26"/>
        </w:rPr>
        <w:t xml:space="preserve">  指标体系与验收标准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指标要能回答两个问题：系统准不准（识别层），以及系统有没有用（决策层）。后者才是本方案的重点，也是同类作品普遍缺失的部分。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14   系统指标体系与验收标准</w:t>
      </w:r>
    </w:p>
    <w:tbl>
      <w:tblPr>
        <w:tblStyle w:val="TableGrid"/>
        <w:tblW w:w="8617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041"/>
        <w:gridCol w:w="4082"/>
        <w:gridCol w:w="1247"/>
        <w:gridCol w:w="1247"/>
      </w:tblGrid>
      <w:tr>
        <w:trPr>
          <w:cantSplit/>
          <w:tblHeader w:val="true"/>
        </w:trPr>
        <w:tc>
          <w:tcPr>
            <w:tcW w:type="dxa" w:w="204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082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定义 / 计算方式</w:t>
            </w:r>
          </w:p>
        </w:tc>
        <w:tc>
          <w:tcPr>
            <w:tcW w:type="dxa" w:w="1247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目标值</w:t>
            </w:r>
          </w:p>
        </w:tc>
        <w:tc>
          <w:tcPr>
            <w:tcW w:type="dxa" w:w="1247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归属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分心识别准确率</w:t>
            </w:r>
          </w:p>
        </w:tc>
        <w:tc>
          <w:tcPr>
            <w:tcW w:type="dxa" w:w="408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分心 / 正常二分类的准确率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≥ 92 %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识别层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误报率 FPR</w:t>
            </w:r>
          </w:p>
        </w:tc>
        <w:tc>
          <w:tcPr>
            <w:tcW w:type="dxa" w:w="4082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正常驾驶状态下每小时误报次数</w:t>
            </w:r>
          </w:p>
        </w:tc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≤ 1 次/h</w:t>
            </w:r>
          </w:p>
        </w:tc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识别层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疲劳检测灵敏度</w:t>
            </w:r>
          </w:p>
        </w:tc>
        <w:tc>
          <w:tcPr>
            <w:tcW w:type="dxa" w:w="408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疲劳事件被正确检出的比例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≥ 90 %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识别层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首次告警时延</w:t>
            </w:r>
          </w:p>
        </w:tc>
        <w:tc>
          <w:tcPr>
            <w:tcW w:type="dxa" w:w="4082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状态发生到首次告警输出的时间</w:t>
            </w:r>
          </w:p>
        </w:tc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≤ 1.5 s</w:t>
            </w:r>
          </w:p>
        </w:tc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识别层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DTR–接管时间相关性</w:t>
            </w:r>
          </w:p>
        </w:tc>
        <w:tc>
          <w:tcPr>
            <w:tcW w:type="dxa" w:w="408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DTR 与实测接管时间的 Spearman ρ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≥ 0.60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决策层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时间预算命中率</w:t>
            </w:r>
          </w:p>
        </w:tc>
        <w:tc>
          <w:tcPr>
            <w:tcW w:type="dxa" w:w="4082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T_est 落在实测接管时间 ±30 % 内的比例</w:t>
            </w:r>
          </w:p>
        </w:tc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≥ 70 %</w:t>
            </w:r>
          </w:p>
        </w:tc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决策层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端到端时延</w:t>
            </w:r>
          </w:p>
        </w:tc>
        <w:tc>
          <w:tcPr>
            <w:tcW w:type="dxa" w:w="4082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采集到执行器动作的全链路时延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≤ 120 ms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系统层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接管成功率提升</w:t>
            </w:r>
          </w:p>
        </w:tc>
        <w:tc>
          <w:tcPr>
            <w:tcW w:type="dxa" w:w="4082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相比无系统条件的绝对提升（百分点）</w:t>
            </w:r>
          </w:p>
        </w:tc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≥ 15 pp</w:t>
            </w:r>
          </w:p>
        </w:tc>
        <w:tc>
          <w:tcPr>
            <w:tcW w:type="dxa" w:w="124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系统层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模态失效可用率</w:t>
            </w:r>
          </w:p>
        </w:tc>
        <w:tc>
          <w:tcPr>
            <w:tcW w:type="dxa" w:w="4082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遮挡 / 夜间工况下仍有 ≥2 路模态可用的比例</w:t>
            </w:r>
          </w:p>
        </w:tc>
        <w:tc>
          <w:tcPr>
            <w:tcW w:type="dxa" w:w="1247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≥ 95 %</w:t>
            </w:r>
          </w:p>
        </w:tc>
        <w:tc>
          <w:tcPr>
            <w:tcW w:type="dxa" w:w="1247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系统层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5.6</w:t>
      </w:r>
      <w:r>
        <w:rPr>
          <w:rFonts w:ascii="Segoe UI" w:hAnsi="Segoe UI" w:eastAsia="黑体" w:cs="Segoe UI"/>
          <w:b/>
          <w:color w:val="1F3864"/>
          <w:sz w:val="26"/>
        </w:rPr>
        <w:t xml:space="preserve">  被试实验设计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这是最能体现工作量与严谨性的一节。实验采用被试内设计，每人完成全部条件组合，用拉丁方平衡顺序以抵消学习效应。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15   接管实验设计矩阵</w:t>
      </w:r>
    </w:p>
    <w:tbl>
      <w:tblPr>
        <w:tblStyle w:val="TableGrid"/>
        <w:tblW w:w="8957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701"/>
        <w:gridCol w:w="7257"/>
      </w:tblGrid>
      <w:tr>
        <w:trPr>
          <w:cantSplit/>
          <w:tblHeader w:val="true"/>
        </w:trPr>
        <w:tc>
          <w:tcPr>
            <w:tcW w:type="dxa" w:w="170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7"/>
              </w:rPr>
              <w:t>设计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被试</w:t>
            </w:r>
          </w:p>
        </w:tc>
        <w:tc>
          <w:tcPr>
            <w:tcW w:type="dxa" w:w="7257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20–30 名，驾龄 ≥ 2 年，矫正视力正常，男女比例接近；排除有睡眠障碍者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自变量一</w:t>
            </w:r>
          </w:p>
        </w:tc>
        <w:tc>
          <w:tcPr>
            <w:tcW w:type="dxa" w:w="7257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TOR 提前量：3 s / 5 s / 7 s / 10 s 四水平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自变量二</w:t>
            </w:r>
          </w:p>
        </w:tc>
        <w:tc>
          <w:tcPr>
            <w:tcW w:type="dxa" w:w="7257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次任务类型：无任务 / n-back 听觉任务 / 手机文字输入 / 看视频四水平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自变量三</w:t>
            </w:r>
          </w:p>
        </w:tc>
        <w:tc>
          <w:tcPr>
            <w:tcW w:type="dxa" w:w="7257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状态诱导：正常状态 / 睡眠限制（前一夜 ≤ 5 h）两水平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实验条件</w:t>
            </w:r>
          </w:p>
        </w:tc>
        <w:tc>
          <w:tcPr>
            <w:tcW w:type="dxa" w:w="7257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无系统 / 单模态告警 / 本方案分级引导，三条件被试内对照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因变量</w:t>
            </w:r>
          </w:p>
        </w:tc>
        <w:tc>
          <w:tcPr>
            <w:tcW w:type="dxa" w:w="7257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接管成功与否；接管时间 TTT；接管质量（横向加速度峰值、越线、碰撞）；NASA-TLX 主观负荷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试次安排</w:t>
            </w:r>
          </w:p>
        </w:tc>
        <w:tc>
          <w:tcPr>
            <w:tcW w:type="dxa" w:w="7257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每条件 48 次 TOR 事件，分 2 天完成，事件间隔 ≥ 30 s，避免预期效应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分析方法</w:t>
            </w:r>
          </w:p>
        </w:tc>
        <w:tc>
          <w:tcPr>
            <w:tcW w:type="dxa" w:w="7257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生存分析（KM 曲线 + Cox 回归）分析 TTT；ROC 确定 DTR 阈值；混合效应模型控制个体随机效应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7"/>
              </w:rPr>
              <w:t>伦理与安全</w:t>
            </w:r>
          </w:p>
        </w:tc>
        <w:tc>
          <w:tcPr>
            <w:tcW w:type="dxa" w:w="7257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7"/>
              </w:rPr>
              <w:t>知情同意、随时可退出、睡眠限制不超过安全限度、数据脱敏后存储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5.7</w:t>
      </w:r>
      <w:r>
        <w:rPr>
          <w:rFonts w:ascii="Segoe UI" w:hAnsi="Segoe UI" w:eastAsia="黑体" w:cs="Segoe UI"/>
          <w:b/>
          <w:color w:val="1F3864"/>
          <w:sz w:val="26"/>
        </w:rPr>
        <w:t xml:space="preserve">  预期结果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下图是方案设计阶段推演出的预期曲线：横轴是 TOR 提前量，纵轴是接管成功率，三条线分别对应“仅视觉”“多模态融合”“融合 + 分级引导 + 触觉”。它的意义不在于数值本身，而在于告诉我们实验应该在哪里取点、以及分级引导的收益出现在什么时间段。</w:t>
      </w:r>
    </w:p>
    <w:p>
      <w:pPr>
        <w:keepNext/>
        <w:spacing w:before="20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4000" cy="2833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per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3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276" w:lineRule="auto"/>
        <w:jc w:val="center"/>
      </w:pPr>
      <w:r>
        <w:rPr>
          <w:rFonts w:ascii="Segoe UI" w:hAnsi="Segoe UI" w:eastAsia="微软雅黑" w:cs="Segoe UI"/>
          <w:b/>
          <w:color w:val="596674"/>
          <w:sz w:val="18"/>
        </w:rPr>
        <w:t>图 8   预期接管成功率随 TOR 提前量的变化（示意，待实验标定）</w:t>
      </w:r>
    </w:p>
    <w:p>
      <w:pPr>
        <w:spacing w:before="0" w:after="200"/>
      </w:pPr>
      <w:r>
        <w:rPr>
          <w:rFonts w:ascii="Segoe UI" w:hAnsi="Segoe UI" w:eastAsia="宋体" w:cs="Segoe UI"/>
          <w:b w:val="0"/>
          <w:color w:val="596674"/>
          <w:sz w:val="17"/>
        </w:rPr>
        <w:t>说明：本图为方案推演结果，用于确定实验取点与预期量级，不作为实验结论引用。正式提交材料中须替换为实测数据与置信区间。</w:t>
      </w:r>
    </w:p>
    <w:p>
      <w:pPr>
        <w:pStyle w:val="Heading1"/>
        <w:keepNext/>
        <w:spacing w:before="400" w:after="200" w:line="288" w:lineRule="auto"/>
        <w:pBdr>
          <w:bottom w:val="single" w:sz="12" w:space="4" w:color="1F3864"/>
        </w:pBdr>
      </w:pPr>
      <w:r>
        <w:rPr>
          <w:rFonts w:ascii="Segoe UI" w:hAnsi="Segoe UI" w:eastAsia="黑体" w:cs="Segoe UI"/>
          <w:b/>
          <w:color w:val="1F3864"/>
          <w:sz w:val="38"/>
        </w:rPr>
        <w:t>第六章</w:t>
      </w:r>
      <w:r>
        <w:rPr>
          <w:rFonts w:ascii="Segoe UI" w:hAnsi="Segoe UI" w:eastAsia="黑体" w:cs="Segoe UI"/>
          <w:b/>
          <w:color w:val="1F3864"/>
          <w:sz w:val="34"/>
        </w:rPr>
        <w:t xml:space="preserve">  参赛策略与答辩设计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技术方案想清楚只是第一步。同一个题目下，讲得清与讲不清，名次可能差一个档。本章把“怎么讲”整理成可以直接背下来的东西。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6.1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差异化定位：一句能被记住的话</w:t>
      </w:r>
    </w:p>
    <w:tbl>
      <w:tblPr>
        <w:tblW w:w="8844" w:type="dxa"/>
        <w:jc w:val="center"/>
        <w:tblBorders>
          <w:top w:val="nil"/>
          <w:bottom w:val="nil"/>
          <w:right w:val="nil"/>
          <w:insideH w:val="nil"/>
          <w:insideV w:val="nil"/>
          <w:left w:val="single" w:sz="24" w:space="0" w:color="C04722"/>
        </w:tblBorders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val="clear" w:color="auto" w:fill="F5F1EA"/>
          </w:tcPr>
          <w:p>
            <w:pPr>
              <w:spacing w:before="20" w:after="60" w:line="312" w:lineRule="auto"/>
            </w:pPr>
            <w:r/>
            <w:r>
              <w:rPr>
                <w:rFonts w:ascii="Segoe UI" w:hAnsi="Segoe UI" w:eastAsia="黑体" w:cs="Segoe UI"/>
                <w:b/>
                <w:color w:val="C04722"/>
                <w:sz w:val="21"/>
              </w:rPr>
              <w:t>开场第一句（建议）</w:t>
            </w:r>
          </w:p>
          <w:p>
            <w:pPr>
              <w:spacing w:before="0" w:after="20" w:line="341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color w:val="1A202C"/>
                <w:sz w:val="21"/>
              </w:rPr>
              <w:t>「别人测你分不分心，我们算你还来不来得及。」——这句话的好处是：它同时否定了现有路线（只测分心）、点出了我们的核心（算时间）、并且制造了一个评委想追问的悬念（怎么算？）。答辩的前 20 秒就靠它。</w:t>
            </w:r>
          </w:p>
        </w:tc>
      </w:tr>
    </w:tbl>
    <w:p>
      <w:pPr>
        <w:spacing w:before="0" w:after="80" w:line="144" w:lineRule="auto"/>
      </w:pP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配合这句话，再准备三个“别人没有”：</w:t>
      </w:r>
    </w:p>
    <w:p>
      <w:pPr>
        <w:widowControl/>
        <w:spacing w:before="4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/>
          <w:color w:val="1F3864"/>
          <w:sz w:val="22"/>
        </w:rPr>
        <w:t>第一，一个别人不输出的量：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带不确定度的可接管度 DTR 与接管时间预算 T_est。评委问“你的输出是什么”，不要回答“分心率”，要回答“DTR 和时间预算，这两个量可以直接喂给 L3 的 TOR 与 MRM 状态机”。</w:t>
      </w:r>
    </w:p>
    <w:p>
      <w:pPr>
        <w:widowControl/>
        <w:spacing w:before="4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/>
          <w:color w:val="1F3864"/>
          <w:sz w:val="22"/>
        </w:rPr>
        <w:t>第二，一个别人不做的演示：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当场遮住摄像头，系统仍然工作。这一分钟能同时证明多模态融合、置信度门控和降级策略三件事，性价比最高。</w:t>
      </w:r>
    </w:p>
    <w:p>
      <w:pPr>
        <w:widowControl/>
        <w:spacing w:before="4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/>
          <w:color w:val="1F3864"/>
          <w:sz w:val="22"/>
        </w:rPr>
        <w:t>第三，一条别人不建的通路：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同一套算法从公开数据集 → CARLA → HIL 台架 → 实车静态，四段数据可追溯、可复现。这证明团队做的不是一次性的“演示程序”。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6.2</w:t>
      </w:r>
      <w:r>
        <w:rPr>
          <w:rFonts w:ascii="Segoe UI" w:hAnsi="Segoe UI" w:eastAsia="黑体" w:cs="Segoe UI"/>
          <w:b/>
          <w:color w:val="1F3864"/>
          <w:sz w:val="26"/>
        </w:rPr>
        <w:t xml:space="preserve">  证据链怎么组织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评委会沿着一条路径验证我们：题目意义 → 方案创新 → 技术可行性 → 实验证据 → 落地价值。每一环都要有对应材料，且最好是“一页纸能看完”的形式。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16   证据链与评审关注点的对应</w:t>
      </w:r>
    </w:p>
    <w:tbl>
      <w:tblPr>
        <w:tblStyle w:val="TableGrid"/>
        <w:tblW w:w="8957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928"/>
        <w:gridCol w:w="3175"/>
        <w:gridCol w:w="1814"/>
        <w:gridCol w:w="2041"/>
      </w:tblGrid>
      <w:tr>
        <w:trPr>
          <w:cantSplit/>
          <w:tblHeader w:val="true"/>
        </w:trPr>
        <w:tc>
          <w:tcPr>
            <w:tcW w:type="dxa" w:w="192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评审关注点</w:t>
            </w:r>
          </w:p>
        </w:tc>
        <w:tc>
          <w:tcPr>
            <w:tcW w:type="dxa" w:w="3175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我们的答案</w:t>
            </w:r>
          </w:p>
        </w:tc>
        <w:tc>
          <w:tcPr>
            <w:tcW w:type="dxa" w:w="181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对应材料</w:t>
            </w:r>
          </w:p>
        </w:tc>
        <w:tc>
          <w:tcPr>
            <w:tcW w:type="dxa" w:w="204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呈现形式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题目理解是否到位</w:t>
            </w:r>
          </w:p>
        </w:tc>
        <w:tc>
          <w:tcPr>
            <w:tcW w:type="dxa" w:w="317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把分心升级为可接管能力，并给出时间判据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第二、三章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一张漏斗架构图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创新点是否真实</w:t>
            </w:r>
          </w:p>
        </w:tc>
        <w:tc>
          <w:tcPr>
            <w:tcW w:type="dxa" w:w="317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六个创新点逐条对应六条局限</w:t>
            </w:r>
          </w:p>
        </w:tc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表 4</w:t>
            </w:r>
          </w:p>
        </w:tc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一页对照表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技术是否可行</w:t>
            </w:r>
          </w:p>
        </w:tc>
        <w:tc>
          <w:tcPr>
            <w:tcW w:type="dxa" w:w="317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器件全部现货、链路已拆到节点级、时延有预算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第四章、表 10/11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BOM + 时延表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证据是否可靠</w:t>
            </w:r>
          </w:p>
        </w:tc>
        <w:tc>
          <w:tcPr>
            <w:tcW w:type="dxa" w:w="317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三层验证，数据集 / 仿真 / HIL / 实车四段数据</w:t>
            </w:r>
          </w:p>
        </w:tc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第五章</w:t>
            </w:r>
          </w:p>
        </w:tc>
        <w:tc>
          <w:tcPr>
            <w:tcW w:type="dxa" w:w="2041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曲线 + 指标表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能不能落地</w:t>
            </w:r>
          </w:p>
        </w:tc>
        <w:tc>
          <w:tcPr>
            <w:tcW w:type="dxa" w:w="317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3 300 元 BOM，核心可压到 800 元级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表 8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成本结构图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团队是否扎实</w:t>
            </w:r>
          </w:p>
        </w:tc>
        <w:tc>
          <w:tcPr>
            <w:tcW w:type="dxa" w:w="317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标准对齐、伦理合规、风险预案、进度计划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第一、六章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标准表 + 甘特图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6.3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八分钟讲稿骨架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按八分钟设计，每一段都标注了“要打动的点”。实际答辩时间若被压缩到五分钟，砍掉 5:20–6:20 的验证段，其余按比例压缩即可——开场与演示不能砍。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17   八分钟答辩讲稿骨架</w:t>
      </w:r>
    </w:p>
    <w:tbl>
      <w:tblPr>
        <w:tblStyle w:val="TableGrid"/>
        <w:tblW w:w="8957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077"/>
        <w:gridCol w:w="1814"/>
        <w:gridCol w:w="4139"/>
        <w:gridCol w:w="1928"/>
      </w:tblGrid>
      <w:tr>
        <w:trPr>
          <w:cantSplit/>
          <w:tblHeader w:val="true"/>
        </w:trPr>
        <w:tc>
          <w:tcPr>
            <w:tcW w:type="dxa" w:w="1077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81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4139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关键动作</w:t>
            </w:r>
          </w:p>
        </w:tc>
        <w:tc>
          <w:tcPr>
            <w:tcW w:type="dxa" w:w="192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要打动的点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0:00–0:40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开场立意</w:t>
            </w:r>
          </w:p>
        </w:tc>
        <w:tc>
          <w:tcPr>
            <w:tcW w:type="dxa" w:w="4139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先抛问题：“L3 出事时，真正的问题是他分心了吗？”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抓住注意力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0:40–1:40</w:t>
            </w:r>
          </w:p>
        </w:tc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问题与局限</w:t>
            </w:r>
          </w:p>
        </w:tc>
        <w:tc>
          <w:tcPr>
            <w:tcW w:type="dxa" w:w="4139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用三条硬伤快速否定现有路线，语速可略快</w:t>
            </w:r>
          </w:p>
        </w:tc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显得懂行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1:40–2:40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总体架构</w:t>
            </w:r>
          </w:p>
        </w:tc>
        <w:tc>
          <w:tcPr>
            <w:tcW w:type="dxa" w:w="4139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指漏斗图，一层一句话讲完六层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系统性强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2:40–4:00</w:t>
            </w:r>
          </w:p>
        </w:tc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两个核心创新</w:t>
            </w:r>
          </w:p>
        </w:tc>
        <w:tc>
          <w:tcPr>
            <w:tcW w:type="dxa" w:w="4139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时间预算图 + 三维图，各讲一个数字</w:t>
            </w:r>
          </w:p>
        </w:tc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留下记忆点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4:00–5:20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实物演示</w:t>
            </w:r>
          </w:p>
        </w:tc>
        <w:tc>
          <w:tcPr>
            <w:tcW w:type="dxa" w:w="4139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遮摄像头 + 四级升级，全程不看稿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可信度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5:20–6:20</w:t>
            </w:r>
          </w:p>
        </w:tc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验证与数据</w:t>
            </w:r>
          </w:p>
        </w:tc>
        <w:tc>
          <w:tcPr>
            <w:tcW w:type="dxa" w:w="4139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HIL 图 + 指标表 + 预期曲线，强调“待标定”以示严谨</w:t>
            </w:r>
          </w:p>
        </w:tc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严谨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6:20–7:00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价值与推广</w:t>
            </w:r>
          </w:p>
        </w:tc>
        <w:tc>
          <w:tcPr>
            <w:tcW w:type="dxa" w:w="4139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成本结构、前装/后装两条路径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落地可能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4F7FB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7:00–8:00</w:t>
            </w:r>
          </w:p>
        </w:tc>
        <w:tc>
          <w:tcPr>
            <w:tcW w:type="dxa" w:w="1814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收尾</w:t>
            </w:r>
          </w:p>
        </w:tc>
        <w:tc>
          <w:tcPr>
            <w:tcW w:type="dxa" w:w="4139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回到开场那句话，形成闭环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完整感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6.4</w:t>
      </w:r>
      <w:r>
        <w:rPr>
          <w:rFonts w:ascii="Segoe UI" w:hAnsi="Segoe UI" w:eastAsia="黑体" w:cs="Segoe UI"/>
          <w:b/>
          <w:color w:val="1F3864"/>
          <w:sz w:val="26"/>
        </w:rPr>
        <w:t xml:space="preserve">  评委可能的十二个追问与应答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这些问题按被问到的概率排序。每一个都准备了 30 秒以内的回答，过长会显得心虚，过短会显得没想过。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18   评委追问与建议应答</w:t>
      </w:r>
    </w:p>
    <w:tbl>
      <w:tblPr>
        <w:tblStyle w:val="TableGrid"/>
        <w:tblW w:w="8957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061"/>
        <w:gridCol w:w="5896"/>
      </w:tblGrid>
      <w:tr>
        <w:trPr>
          <w:cantSplit/>
          <w:tblHeader w:val="true"/>
        </w:trPr>
        <w:tc>
          <w:tcPr>
            <w:tcW w:type="dxa" w:w="3061"/>
            <w:shd w:val="clear" w:color="auto" w:fill="1F386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可能的追问</w:t>
            </w:r>
          </w:p>
        </w:tc>
        <w:tc>
          <w:tcPr>
            <w:tcW w:type="dxa" w:w="5896"/>
            <w:shd w:val="clear" w:color="auto" w:fill="1F386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建议应答（30 秒内）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你们的分心识别准确率多少？比别人的 98% 高吗？</w:t>
            </w:r>
          </w:p>
        </w:tc>
        <w:tc>
          <w:tcPr>
            <w:tcW w:type="dxa" w:w="5896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我们不在精度上竞争。公开数据集上的基线我们会报，但那只是入场券。真正的核心指标是“可接管度与实测接管时间的相关性”（目标 ρ ≥ 0.6）和“分级预警带来的接管成功率提升”，这两个数同类作品基本不报。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分心和疲劳，你怎么区分？</w:t>
            </w:r>
          </w:p>
        </w:tc>
        <w:tc>
          <w:tcPr>
            <w:tcW w:type="dxa" w:w="5896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拆成三个维度分开算：注意力看视线与注视区，唤醒度看 PERCLOS 与 HRV，操作就绪度看握持与坐姿。三者各有权重与阈值，融合时看主导维度，处置手段也不同。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驾驶员戴墨镜、夜间开车怎么办？</w:t>
            </w:r>
          </w:p>
        </w:tc>
        <w:tc>
          <w:tcPr>
            <w:tcW w:type="dxa" w:w="5896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近红外 850 nm 补光配无 IR-cut 相机，在墨镜后仍可获取瞳孔信息；若仍不可用，视觉置信度跌破阈值，系统自动降权并切到握持 + 心率 + 车辆模态，DTR 照常输出，只是不确定度变大并转保守策略。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你怎么判断他“还能不能接管”？这不是猜吗？</w:t>
            </w:r>
          </w:p>
        </w:tc>
        <w:tc>
          <w:tcPr>
            <w:tcW w:type="dxa" w:w="5896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是估计，不是断言。我们估计接管时间的 75 分位数，与系统可维持时间比较，输出的是概率性判据，并且有实验标定曲线支撑。工程上宁保守不激进。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车内拍人脸，合法吗？</w:t>
            </w:r>
          </w:p>
        </w:tc>
        <w:tc>
          <w:tcPr>
            <w:tcW w:type="dxa" w:w="5896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三条合规设计：推理全部在车端完成、视频不出车也不落盘、只保留特征向量与事件日志。原始帧在内存中用完即弃，符合《个人信息保护法》的最小必要原则。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博世、商汤都在做 DMS，你们有什么不同？</w:t>
            </w:r>
          </w:p>
        </w:tc>
        <w:tc>
          <w:tcPr>
            <w:tcW w:type="dxa" w:w="5896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商用 DMS 解决的是“疲劳告警”，输出告警信号，服务于法规合规；我们解决的是“接管决策”，输出可接管度与时间预算，服务于 L3 的 TOR/MRM 时序。前者是产品，后者是系统方案，层次不同。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3 300 元的原型，量产能落地吗？</w:t>
            </w:r>
          </w:p>
        </w:tc>
        <w:tc>
          <w:tcPr>
            <w:tcW w:type="dxa" w:w="5896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原型含工控件（开发板、心率带、车载屏）。量产时主控换车规模组（300 元级）、相机与前装复用、心率可由方向盘电极或座椅电极替代，核心感知与预警部分可压到 800 元级。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你们只做了模拟器，实车跑过吗？</w:t>
            </w:r>
          </w:p>
        </w:tc>
        <w:tc>
          <w:tcPr>
            <w:tcW w:type="dxa" w:w="5896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实车已完成静态座舱标定与停车场低速验证，用于采集真实光照与姿态差异；高速场景受安全与伦理限制，采用 HIL 覆盖，这是行业通行做法。我们会明确标注哪些数据来自实车、哪些来自 HIL。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可接管度这个提法，学术界不是有研究吗？</w:t>
            </w:r>
          </w:p>
        </w:tc>
        <w:tc>
          <w:tcPr>
            <w:tcW w:type="dxa" w:w="5896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take-over readiness 在学术上确实有研究，但多为离线分析或驾驶模拟器研究。我们的贡献是把它工程化成可运行原型：三维解耦 + 双门控融合 + 时间判据 + 分级引导 + 低成本硬件 + HIL 验证，这个组合在参赛作品里没有。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误报多了用户会关掉，你们怎么解决？</w:t>
            </w:r>
          </w:p>
        </w:tc>
        <w:tc>
          <w:tcPr>
            <w:tcW w:type="dxa" w:w="5896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三条：个体基线自标定、2 s 回滞防抖、以及只在 T_est 接近 T_avail 的关键窗口才升级到高强度告警。目标是把误报压到 1 次/小时以内。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你怎么证明这套系统真的有用？</w:t>
            </w:r>
          </w:p>
        </w:tc>
        <w:tc>
          <w:tcPr>
            <w:tcW w:type="dxa" w:w="5896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做对照实验。三组条件：无系统、单模态告警、本方案分级引导，被试内设计，每人 48 次 TOR 试次，比较接管成功率与接管时间分布。这是可复现的证据，不是主观评价。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时间上来得及吗？</w:t>
            </w:r>
          </w:p>
        </w:tc>
        <w:tc>
          <w:tcPr>
            <w:tcW w:type="dxa" w:w="5896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见表 20 的进度计划。单模态 MVP 六周可跑通，HIL 台架第 9 周上线，被试实验第 13 周完成，留五周做材料与排练。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6.5</w:t>
      </w:r>
      <w:r>
        <w:rPr>
          <w:rFonts w:ascii="Segoe UI" w:hAnsi="Segoe UI" w:eastAsia="黑体" w:cs="Segoe UI"/>
          <w:b/>
          <w:color w:val="1F3864"/>
          <w:sz w:val="26"/>
        </w:rPr>
        <w:t xml:space="preserve">  风险与预案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把风险写在方案里，本身就是一种专业表现——说明团队已经预演过失败。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19   主要风险与应对预案</w:t>
      </w:r>
    </w:p>
    <w:tbl>
      <w:tblPr>
        <w:tblStyle w:val="TableGrid"/>
        <w:tblW w:w="8957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928"/>
        <w:gridCol w:w="2835"/>
        <w:gridCol w:w="4195"/>
      </w:tblGrid>
      <w:tr>
        <w:trPr>
          <w:cantSplit/>
          <w:tblHeader w:val="true"/>
        </w:trPr>
        <w:tc>
          <w:tcPr>
            <w:tcW w:type="dxa" w:w="192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典型触发场景</w:t>
            </w:r>
          </w:p>
        </w:tc>
        <w:tc>
          <w:tcPr>
            <w:tcW w:type="dxa" w:w="4195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预案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现场光照过曝或过暗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报告厅灯光不可控</w:t>
            </w:r>
          </w:p>
        </w:tc>
        <w:tc>
          <w:tcPr>
            <w:tcW w:type="dxa" w:w="419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自带遮光布 + 红外补光；预录同一算法的实拍视频兜底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语音听不清</w:t>
            </w:r>
          </w:p>
        </w:tc>
        <w:tc>
          <w:tcPr>
            <w:tcW w:type="dxa" w:w="28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会场嘈杂、扩音干扰</w:t>
            </w:r>
          </w:p>
        </w:tc>
        <w:tc>
          <w:tcPr>
            <w:tcW w:type="dxa" w:w="419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以触觉为主通道演示，语音仅作辅助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主控板现场故障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运输震动、供电异常</w:t>
            </w:r>
          </w:p>
        </w:tc>
        <w:tc>
          <w:tcPr>
            <w:tcW w:type="dxa" w:w="419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双 SD 卡同镜像热备；笔记本端保留同算法备份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被试当天状态异常</w:t>
            </w:r>
          </w:p>
        </w:tc>
        <w:tc>
          <w:tcPr>
            <w:tcW w:type="dxa" w:w="28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疲劳或紧张导致数据离群</w:t>
            </w:r>
          </w:p>
        </w:tc>
        <w:tc>
          <w:tcPr>
            <w:tcW w:type="dxa" w:w="419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增加试次并剔除异常；保留数据集回放模式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评委质疑数据来源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追问训练集与实验细节</w:t>
            </w:r>
          </w:p>
        </w:tc>
        <w:tc>
          <w:tcPr>
            <w:tcW w:type="dxa" w:w="419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同时准备公开数据集与自采数据两套结果，明确标注来源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算法实时性不达标</w:t>
            </w:r>
          </w:p>
        </w:tc>
        <w:tc>
          <w:tcPr>
            <w:tcW w:type="dxa" w:w="283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NPU 算子不支持某些层</w:t>
            </w:r>
          </w:p>
        </w:tc>
        <w:tc>
          <w:tcPr>
            <w:tcW w:type="dxa" w:w="4195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降分辨率 / 跳帧 + 模型量化，守住 25 fps 下限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硬件到货延迟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采购周期不可控</w:t>
            </w:r>
          </w:p>
        </w:tc>
        <w:tc>
          <w:tcPr>
            <w:tcW w:type="dxa" w:w="4195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先用笔记本 + USB 相机跑通软件链路，硬件到位后替换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进度延期</w:t>
            </w:r>
          </w:p>
        </w:tc>
        <w:tc>
          <w:tcPr>
            <w:tcW w:type="dxa" w:w="283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实验排期与课业冲突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MVP 优先，砍掉非核心场景，保住“可演示 + 有数据”两条底线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6.6</w:t>
      </w:r>
      <w:r>
        <w:rPr>
          <w:rFonts w:ascii="Segoe UI" w:hAnsi="Segoe UI" w:eastAsia="黑体" w:cs="Segoe UI"/>
          <w:b/>
          <w:color w:val="1F3864"/>
          <w:sz w:val="26"/>
        </w:rPr>
        <w:t xml:space="preserve">  进度计划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按 18 周安排，每两周一个检查点。关键路径是“硬件采购”与“被试实验排期”，这两项必须提前锁死，其余都可以并行压缩。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20   项目进度计划</w:t>
      </w:r>
    </w:p>
    <w:tbl>
      <w:tblPr>
        <w:tblStyle w:val="TableGrid"/>
        <w:tblW w:w="9071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814"/>
        <w:gridCol w:w="1361"/>
        <w:gridCol w:w="3628"/>
        <w:gridCol w:w="2268"/>
      </w:tblGrid>
      <w:tr>
        <w:trPr>
          <w:cantSplit/>
          <w:tblHeader w:val="true"/>
        </w:trPr>
        <w:tc>
          <w:tcPr>
            <w:tcW w:type="dxa" w:w="1814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361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周次</w:t>
            </w:r>
          </w:p>
        </w:tc>
        <w:tc>
          <w:tcPr>
            <w:tcW w:type="dxa" w:w="362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里程碑 / 交付物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一、方案与需求</w:t>
            </w:r>
          </w:p>
        </w:tc>
        <w:tc>
          <w:tcPr>
            <w:tcW w:type="dxa" w:w="1361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第 1–2 周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文献与标准梳理、场景定义、指标确定</w:t>
            </w:r>
          </w:p>
        </w:tc>
        <w:tc>
          <w:tcPr>
            <w:tcW w:type="dxa" w:w="226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方案书 v1、指标清单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二、算法原型</w:t>
            </w:r>
          </w:p>
        </w:tc>
        <w:tc>
          <w:tcPr>
            <w:tcW w:type="dxa" w:w="1361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第 3–6 周</w:t>
            </w:r>
          </w:p>
        </w:tc>
        <w:tc>
          <w:tcPr>
            <w:tcW w:type="dxa" w:w="36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视觉流水线、三维特征、融合与 DTR</w:t>
            </w:r>
          </w:p>
        </w:tc>
        <w:tc>
          <w:tcPr>
            <w:tcW w:type="dxa" w:w="226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单模态 MVP 跑通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三、硬件集成</w:t>
            </w:r>
          </w:p>
        </w:tc>
        <w:tc>
          <w:tcPr>
            <w:tcW w:type="dxa" w:w="1361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第 5–9 周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采购、结构件、驱动与 ROS 2 节点</w:t>
            </w:r>
          </w:p>
        </w:tc>
        <w:tc>
          <w:tcPr>
            <w:tcW w:type="dxa" w:w="226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车载原型整机点亮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四、HIL 与实验</w:t>
            </w:r>
          </w:p>
        </w:tc>
        <w:tc>
          <w:tcPr>
            <w:tcW w:type="dxa" w:w="1361"/>
            <w:shd w:val="clear" w:color="auto" w:fill="F4F7FB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第 9–13 周</w:t>
            </w:r>
          </w:p>
        </w:tc>
        <w:tc>
          <w:tcPr>
            <w:tcW w:type="dxa" w:w="362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CARLA 场景库、台架搭建、被试实验</w:t>
            </w:r>
          </w:p>
        </w:tc>
        <w:tc>
          <w:tcPr>
            <w:tcW w:type="dxa" w:w="2268"/>
            <w:shd w:val="clear" w:color="auto" w:fill="F4F7FB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HIL 闭环 + 实验数据集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五、实车验证</w:t>
            </w:r>
          </w:p>
        </w:tc>
        <w:tc>
          <w:tcPr>
            <w:tcW w:type="dxa" w:w="1361"/>
          </w:tcPr>
          <w:p>
            <w:pPr>
              <w:keepNext/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第 12–15 周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静态标定、停车场低速、夜间工况</w:t>
            </w:r>
          </w:p>
        </w:tc>
        <w:tc>
          <w:tcPr>
            <w:tcW w:type="dxa" w:w="2268"/>
          </w:tcPr>
          <w:p>
            <w:pPr>
              <w:keepNext/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实车数据报告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六、材料与答辩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40" w:after="40" w:line="283" w:lineRule="auto"/>
              <w:jc w:val="center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第 15–18 周</w:t>
            </w:r>
          </w:p>
        </w:tc>
        <w:tc>
          <w:tcPr>
            <w:tcW w:type="dxa" w:w="3628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报告、PPT、演示视频、彩排</w:t>
            </w:r>
          </w:p>
        </w:tc>
        <w:tc>
          <w:tcPr>
            <w:tcW w:type="dxa" w:w="2268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提交材料 + 答辩演练</w:t>
            </w:r>
          </w:p>
        </w:tc>
      </w:tr>
    </w:tbl>
    <w:p>
      <w:pPr>
        <w:spacing w:before="0" w:after="0" w:line="144" w:lineRule="auto"/>
      </w:pPr>
    </w:p>
    <w:p>
      <w:pPr>
        <w:pStyle w:val="Heading1"/>
        <w:keepNext/>
        <w:spacing w:before="400" w:after="200" w:line="288" w:lineRule="auto"/>
        <w:pBdr>
          <w:bottom w:val="single" w:sz="12" w:space="4" w:color="1F3864"/>
        </w:pBdr>
      </w:pPr>
      <w:r>
        <w:rPr>
          <w:rFonts w:ascii="Segoe UI" w:hAnsi="Segoe UI" w:eastAsia="黑体" w:cs="Segoe UI"/>
          <w:b/>
          <w:color w:val="1F3864"/>
          <w:sz w:val="38"/>
        </w:rPr>
        <w:t>第七章</w:t>
      </w:r>
      <w:r>
        <w:rPr>
          <w:rFonts w:ascii="Segoe UI" w:hAnsi="Segoe UI" w:eastAsia="黑体" w:cs="Segoe UI"/>
          <w:b/>
          <w:color w:val="1F3864"/>
          <w:sz w:val="34"/>
        </w:rPr>
        <w:t xml:space="preserve">  预期成果与可行性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7.1</w:t>
      </w:r>
      <w:r>
        <w:rPr>
          <w:rFonts w:ascii="Segoe UI" w:hAnsi="Segoe UI" w:eastAsia="黑体" w:cs="Segoe UI"/>
          <w:b/>
          <w:color w:val="1F3864"/>
          <w:sz w:val="26"/>
        </w:rPr>
        <w:t xml:space="preserve">  能交出的东西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参赛作品的说服力，最终落在“能摆出来什么”上。按目前的方案，预期成果包括：</w:t>
      </w:r>
    </w:p>
    <w:p>
      <w:pPr>
        <w:spacing w:before="40" w:after="60" w:line="360" w:lineRule="auto"/>
        <w:ind w:left="510" w:hanging="312"/>
        <w:jc w:val="both"/>
      </w:pPr>
      <w:r>
        <w:rPr>
          <w:rFonts w:ascii="Segoe UI" w:hAnsi="Segoe UI" w:eastAsia="微软雅黑" w:cs="Segoe UI"/>
          <w:b w:val="0"/>
          <w:color w:val="C04722"/>
          <w:sz w:val="18"/>
        </w:rPr>
        <w:t xml:space="preserve">◆  </w:t>
      </w:r>
      <w:r>
        <w:rPr>
          <w:rFonts w:ascii="Segoe UI" w:hAnsi="Segoe UI" w:eastAsia="黑体" w:cs="Segoe UI"/>
          <w:b/>
          <w:color w:val="1F3864"/>
          <w:sz w:val="21"/>
        </w:rPr>
        <w:t>一套车载原型整机</w:t>
      </w:r>
      <w:r>
        <w:rPr>
          <w:rFonts w:ascii="Times New Roman" w:hAnsi="Times New Roman" w:eastAsia="宋体" w:cs="Times New Roman"/>
          <w:b w:val="0"/>
          <w:color w:val="1A202C"/>
          <w:sz w:val="21"/>
        </w:rPr>
        <w:t xml:space="preserve">　含 3D 打印结构件、线束、软件镜像与开机自启脚本，可随车安装、可现场演示</w:t>
      </w:r>
    </w:p>
    <w:p>
      <w:pPr>
        <w:spacing w:before="40" w:after="60" w:line="360" w:lineRule="auto"/>
        <w:ind w:left="510" w:hanging="312"/>
        <w:jc w:val="both"/>
      </w:pPr>
      <w:r>
        <w:rPr>
          <w:rFonts w:ascii="Segoe UI" w:hAnsi="Segoe UI" w:eastAsia="微软雅黑" w:cs="Segoe UI"/>
          <w:b w:val="0"/>
          <w:color w:val="C04722"/>
          <w:sz w:val="18"/>
        </w:rPr>
        <w:t xml:space="preserve">◆  </w:t>
      </w:r>
      <w:r>
        <w:rPr>
          <w:rFonts w:ascii="Segoe UI" w:hAnsi="Segoe UI" w:eastAsia="黑体" w:cs="Segoe UI"/>
          <w:b/>
          <w:color w:val="1F3864"/>
          <w:sz w:val="21"/>
        </w:rPr>
        <w:t>一套 HIL 仿真座舱</w:t>
      </w:r>
      <w:r>
        <w:rPr>
          <w:rFonts w:ascii="Times New Roman" w:hAnsi="Times New Roman" w:eastAsia="宋体" w:cs="Times New Roman"/>
          <w:b w:val="0"/>
          <w:color w:val="1A202C"/>
          <w:sz w:val="21"/>
        </w:rPr>
        <w:t xml:space="preserve">　含 20 个 CARLA 场景用例、被试管理程序、数据同步采集模块</w:t>
      </w:r>
    </w:p>
    <w:p>
      <w:pPr>
        <w:spacing w:before="40" w:after="60" w:line="360" w:lineRule="auto"/>
        <w:ind w:left="510" w:hanging="312"/>
        <w:jc w:val="both"/>
      </w:pPr>
      <w:r>
        <w:rPr>
          <w:rFonts w:ascii="Segoe UI" w:hAnsi="Segoe UI" w:eastAsia="微软雅黑" w:cs="Segoe UI"/>
          <w:b w:val="0"/>
          <w:color w:val="C04722"/>
          <w:sz w:val="18"/>
        </w:rPr>
        <w:t xml:space="preserve">◆  </w:t>
      </w:r>
      <w:r>
        <w:rPr>
          <w:rFonts w:ascii="Segoe UI" w:hAnsi="Segoe UI" w:eastAsia="黑体" w:cs="Segoe UI"/>
          <w:b/>
          <w:color w:val="1F3864"/>
          <w:sz w:val="21"/>
        </w:rPr>
        <w:t>一份接管实验数据集</w:t>
      </w:r>
      <w:r>
        <w:rPr>
          <w:rFonts w:ascii="Times New Roman" w:hAnsi="Times New Roman" w:eastAsia="宋体" w:cs="Times New Roman"/>
          <w:b w:val="0"/>
          <w:color w:val="1A202C"/>
          <w:sz w:val="21"/>
        </w:rPr>
        <w:t xml:space="preserve">　20–30 名被试 × 48 试次的接管时间、视频、生理、操作与主观量表数据</w:t>
      </w:r>
    </w:p>
    <w:p>
      <w:pPr>
        <w:spacing w:before="40" w:after="60" w:line="360" w:lineRule="auto"/>
        <w:ind w:left="510" w:hanging="312"/>
        <w:jc w:val="both"/>
      </w:pPr>
      <w:r>
        <w:rPr>
          <w:rFonts w:ascii="Segoe UI" w:hAnsi="Segoe UI" w:eastAsia="微软雅黑" w:cs="Segoe UI"/>
          <w:b w:val="0"/>
          <w:color w:val="C04722"/>
          <w:sz w:val="18"/>
        </w:rPr>
        <w:t xml:space="preserve">◆  </w:t>
      </w:r>
      <w:r>
        <w:rPr>
          <w:rFonts w:ascii="Segoe UI" w:hAnsi="Segoe UI" w:eastAsia="黑体" w:cs="Segoe UI"/>
          <w:b/>
          <w:color w:val="1F3864"/>
          <w:sz w:val="21"/>
        </w:rPr>
        <w:t>三个可复现的算法模块</w:t>
      </w:r>
      <w:r>
        <w:rPr>
          <w:rFonts w:ascii="Times New Roman" w:hAnsi="Times New Roman" w:eastAsia="宋体" w:cs="Times New Roman"/>
          <w:b w:val="0"/>
          <w:color w:val="1A202C"/>
          <w:sz w:val="21"/>
        </w:rPr>
        <w:t xml:space="preserve">　三维状态特征提取、双门控多模态融合、接管时间预算估计</w:t>
      </w:r>
    </w:p>
    <w:p>
      <w:pPr>
        <w:spacing w:before="40" w:after="60" w:line="360" w:lineRule="auto"/>
        <w:ind w:left="510" w:hanging="312"/>
        <w:jc w:val="both"/>
      </w:pPr>
      <w:r>
        <w:rPr>
          <w:rFonts w:ascii="Segoe UI" w:hAnsi="Segoe UI" w:eastAsia="微软雅黑" w:cs="Segoe UI"/>
          <w:b w:val="0"/>
          <w:color w:val="C04722"/>
          <w:sz w:val="18"/>
        </w:rPr>
        <w:t xml:space="preserve">◆  </w:t>
      </w:r>
      <w:r>
        <w:rPr>
          <w:rFonts w:ascii="Segoe UI" w:hAnsi="Segoe UI" w:eastAsia="黑体" w:cs="Segoe UI"/>
          <w:b/>
          <w:color w:val="1F3864"/>
          <w:sz w:val="21"/>
        </w:rPr>
        <w:t>一份技术报告 + 一篇论文 / 一项软著</w:t>
      </w:r>
      <w:r>
        <w:rPr>
          <w:rFonts w:ascii="Times New Roman" w:hAnsi="Times New Roman" w:eastAsia="宋体" w:cs="Times New Roman"/>
          <w:b w:val="0"/>
          <w:color w:val="1A202C"/>
          <w:sz w:val="21"/>
        </w:rPr>
        <w:t xml:space="preserve">　按竞赛要求整理，核心图表可直接复用</w:t>
      </w:r>
    </w:p>
    <w:p>
      <w:pPr>
        <w:spacing w:before="40" w:after="60" w:line="360" w:lineRule="auto"/>
        <w:ind w:left="510" w:hanging="312"/>
        <w:jc w:val="both"/>
      </w:pPr>
      <w:r>
        <w:rPr>
          <w:rFonts w:ascii="Segoe UI" w:hAnsi="Segoe UI" w:eastAsia="微软雅黑" w:cs="Segoe UI"/>
          <w:b w:val="0"/>
          <w:color w:val="C04722"/>
          <w:sz w:val="18"/>
        </w:rPr>
        <w:t xml:space="preserve">◆  </w:t>
      </w:r>
      <w:r>
        <w:rPr>
          <w:rFonts w:ascii="Segoe UI" w:hAnsi="Segoe UI" w:eastAsia="黑体" w:cs="Segoe UI"/>
          <w:b/>
          <w:color w:val="1F3864"/>
          <w:sz w:val="21"/>
        </w:rPr>
        <w:t>一套答辩材料</w:t>
      </w:r>
      <w:r>
        <w:rPr>
          <w:rFonts w:ascii="Times New Roman" w:hAnsi="Times New Roman" w:eastAsia="宋体" w:cs="Times New Roman"/>
          <w:b w:val="0"/>
          <w:color w:val="1A202C"/>
          <w:sz w:val="21"/>
        </w:rPr>
        <w:t xml:space="preserve">　PPT、90 秒演示视频、现场演示脚本与预备方案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7.2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可行性分析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学生团队最容易在“能不能做完”上被质疑，因此需要从技术、成本、时间三个维度给出明确回答。</w:t>
      </w:r>
    </w:p>
    <w:p>
      <w:pPr>
        <w:widowControl/>
        <w:spacing w:before="4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/>
          <w:color w:val="1F3864"/>
          <w:sz w:val="22"/>
        </w:rPr>
        <w:t>技术可行性：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方案中的每个模块都有成熟的开源基础——视觉关键点用 MediaPipe 或 RTMPose，NPU 部署用 RKNN 工具链，仿真用 CARLA，中间件用 ROS 2。团队的工作量集中在“集成、标定与系统逻辑”，而不是从零训练基础模型。这条路径风险最低，也最符合竞赛周期。</w:t>
      </w:r>
    </w:p>
    <w:p>
      <w:pPr>
        <w:widowControl/>
        <w:spacing w:before="4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/>
          <w:color w:val="1F3864"/>
          <w:sz w:val="22"/>
        </w:rPr>
        <w:t>成本可行性：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原型 BOM 约 3 300 元，台架中必须新购部分不到 2 500 元，其余可借用实验室资产。一个 4–6 人团队分摊完全在可接受范围内，也不需要动用昂贵的车规级开发设备。</w:t>
      </w:r>
    </w:p>
    <w:p>
      <w:pPr>
        <w:widowControl/>
        <w:spacing w:before="4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/>
          <w:color w:val="1F3864"/>
          <w:sz w:val="22"/>
        </w:rPr>
        <w:t>时间可行性：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18 周计划中，前 6 周就能跑通单模态 MVP，意味着即使后期进度受挫，也始终有一个“能演示、有数据”的保底版本。关键路径（采购、被试排期）已在进度表中前置。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7.3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应用与推广</w:t>
      </w:r>
    </w:p>
    <w:p>
      <w:pPr>
        <w:widowControl/>
        <w:spacing w:before="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作为竞赛作品，落地路径不必写得很大，但必须写得具体。本方案可以沿三条线推广：</w:t>
      </w:r>
    </w:p>
    <w:p>
      <w:pPr>
        <w:widowControl/>
        <w:spacing w:before="4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/>
          <w:color w:val="1F3864"/>
          <w:sz w:val="22"/>
        </w:rPr>
        <w:t>前装：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作为 L2+ / L3 车型的 DMS 增强模块，在现有疲劳告警基础上增加可接管度与分级引导能力，直接服务 L3 的 TOR / MRM 状态机。</w:t>
      </w:r>
    </w:p>
    <w:p>
      <w:pPr>
        <w:widowControl/>
        <w:spacing w:before="4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/>
          <w:color w:val="1F3864"/>
          <w:sz w:val="22"/>
        </w:rPr>
        <w:t>后装：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面向网约车、物流车队与长途客运，提供“疲劳 + 接管能力”的运营级监测，配合车队管理平台做排班与风险干预。</w:t>
      </w:r>
    </w:p>
    <w:p>
      <w:pPr>
        <w:widowControl/>
        <w:spacing w:before="40" w:after="120" w:line="372" w:lineRule="auto"/>
        <w:ind w:firstLine="420"/>
        <w:jc w:val="both"/>
      </w:pPr>
      <w:r>
        <w:rPr>
          <w:rFonts w:ascii="Times New Roman" w:hAnsi="Times New Roman" w:eastAsia="宋体" w:cs="Times New Roman"/>
          <w:b/>
          <w:color w:val="1F3864"/>
          <w:sz w:val="22"/>
        </w:rPr>
        <w:t>横向迁移：</w:t>
      </w:r>
      <w:r>
        <w:rPr>
          <w:rFonts w:ascii="Times New Roman" w:hAnsi="Times New Roman" w:eastAsia="宋体" w:cs="Times New Roman"/>
          <w:b w:val="0"/>
          <w:color w:val="1A202C"/>
          <w:sz w:val="22"/>
        </w:rPr>
        <w:t>警觉度与操作就绪度的评估框架可迁移到轨道交通调度、航空驾驶舱、工业监控等需要持续警觉的岗位，三维解耦的思路具有通用性。</w:t>
      </w:r>
    </w:p>
    <w:tbl>
      <w:tblPr>
        <w:tblW w:w="8844" w:type="dxa"/>
        <w:jc w:val="center"/>
        <w:tblBorders>
          <w:top w:val="nil"/>
          <w:bottom w:val="nil"/>
          <w:right w:val="nil"/>
          <w:insideH w:val="nil"/>
          <w:insideV w:val="nil"/>
          <w:left w:val="single" w:sz="24" w:space="0" w:color="1F3864"/>
        </w:tblBorders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val="clear" w:color="auto" w:fill="F2F6FB"/>
          </w:tcPr>
          <w:p>
            <w:pPr>
              <w:spacing w:before="20" w:after="60" w:line="312" w:lineRule="auto"/>
            </w:pPr>
            <w:r/>
            <w:r>
              <w:rPr>
                <w:rFonts w:ascii="Segoe UI" w:hAnsi="Segoe UI" w:eastAsia="黑体" w:cs="Segoe UI"/>
                <w:b/>
                <w:color w:val="1F3864"/>
                <w:sz w:val="21"/>
              </w:rPr>
              <w:t>给讨论会的一句总结</w:t>
            </w:r>
          </w:p>
          <w:p>
            <w:pPr>
              <w:spacing w:before="0" w:after="20" w:line="341" w:lineRule="auto"/>
              <w:jc w:val="both"/>
            </w:pPr>
            <w:r>
              <w:rPr>
                <w:rFonts w:ascii="Times New Roman" w:hAnsi="Times New Roman" w:eastAsia="宋体" w:cs="Times New Roman"/>
                <w:b w:val="0"/>
                <w:color w:val="1A202C"/>
                <w:sz w:val="21"/>
              </w:rPr>
              <w:t>这个题目最大的风险不是“做不出来”，而是“做出来跟别人一样”。所以我们把力气花在了两处：一是把问题定义往上抬一层（从分心到可接管），二是把证据链做完整（数据集 → 仿真 → HIL → 实车）。前者决定评委记不记得住，后者决定评委信不信。</w:t>
            </w:r>
          </w:p>
        </w:tc>
      </w:tr>
    </w:tbl>
    <w:p>
      <w:pPr>
        <w:spacing w:before="0" w:after="80" w:line="144" w:lineRule="auto"/>
      </w:pPr>
    </w:p>
    <w:p>
      <w:pPr>
        <w:spacing w:before="0" w:after="0" w:line="240" w:lineRule="auto"/>
      </w:pPr>
      <w:r>
        <w:br w:type="page"/>
      </w:r>
    </w:p>
    <w:p>
      <w:pPr>
        <w:pStyle w:val="Heading1"/>
        <w:keepNext/>
        <w:spacing w:before="400" w:after="200" w:line="288" w:lineRule="auto"/>
        <w:pBdr>
          <w:bottom w:val="single" w:sz="12" w:space="4" w:color="1F3864"/>
        </w:pBdr>
      </w:pPr>
      <w:r>
        <w:rPr>
          <w:rFonts w:ascii="Segoe UI" w:hAnsi="Segoe UI" w:eastAsia="黑体" w:cs="Segoe UI"/>
          <w:b/>
          <w:color w:val="1F3864"/>
          <w:sz w:val="38"/>
        </w:rPr>
        <w:t>附　录</w:t>
      </w:r>
      <w:r>
        <w:rPr>
          <w:rFonts w:ascii="Segoe UI" w:hAnsi="Segoe UI" w:eastAsia="黑体" w:cs="Segoe UI"/>
          <w:b/>
          <w:color w:val="1F3864"/>
          <w:sz w:val="34"/>
        </w:rPr>
        <w:t xml:space="preserve">  缩略语与参考资料</w:t>
      </w: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附录 A</w:t>
      </w:r>
      <w:r>
        <w:rPr>
          <w:rFonts w:ascii="Segoe UI" w:hAnsi="Segoe UI" w:eastAsia="黑体" w:cs="Segoe UI"/>
          <w:b/>
          <w:color w:val="1F3864"/>
          <w:sz w:val="26"/>
        </w:rPr>
        <w:t xml:space="preserve">  缩略语对照</w:t>
      </w:r>
    </w:p>
    <w:p>
      <w:pPr>
        <w:keepNext/>
        <w:spacing w:before="200" w:after="80" w:line="276" w:lineRule="auto"/>
        <w:jc w:val="center"/>
      </w:pPr>
      <w:r>
        <w:rPr>
          <w:rFonts w:ascii="Segoe UI" w:hAnsi="Segoe UI" w:eastAsia="微软雅黑" w:cs="Segoe UI"/>
          <w:b/>
          <w:color w:val="2E5C8A"/>
          <w:sz w:val="18"/>
        </w:rPr>
        <w:t>表 21   缩略语对照表</w:t>
      </w:r>
    </w:p>
    <w:tbl>
      <w:tblPr>
        <w:tblStyle w:val="TableGrid"/>
        <w:tblW w:w="8957" w:type="dxa"/>
        <w:jc w:val="center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1701"/>
        <w:gridCol w:w="4195"/>
        <w:gridCol w:w="3061"/>
      </w:tblGrid>
      <w:tr>
        <w:trPr>
          <w:cantSplit/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缩写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英文全称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Segoe UI" w:hAnsi="Segoe UI" w:eastAsia="微软雅黑" w:cs="Segoe UI"/>
                <w:b/>
                <w:color w:val="FFFFFF"/>
                <w:sz w:val="16"/>
              </w:rPr>
              <w:t>中文释义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ODD</w:t>
            </w:r>
          </w:p>
        </w:tc>
        <w:tc>
          <w:tcPr>
            <w:tcW w:type="dxa" w:w="4195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Operational Design Domain</w:t>
            </w:r>
          </w:p>
        </w:tc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运行设计条件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TOR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Take-Over Request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接管请求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MRM</w:t>
            </w:r>
          </w:p>
        </w:tc>
        <w:tc>
          <w:tcPr>
            <w:tcW w:type="dxa" w:w="4195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Minimum Risk Maneuver</w:t>
            </w:r>
          </w:p>
        </w:tc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最小风险策略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DTR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Driver Take-over Readiness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驾驶人可接管度（本方案核心输出）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TTT</w:t>
            </w:r>
          </w:p>
        </w:tc>
        <w:tc>
          <w:tcPr>
            <w:tcW w:type="dxa" w:w="4195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Time To Take-over</w:t>
            </w:r>
          </w:p>
        </w:tc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实际接管时间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T_est / T_avail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Estimated / Available Time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所需接管时间 / 系统可维持时间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DMS</w:t>
            </w:r>
          </w:p>
        </w:tc>
        <w:tc>
          <w:tcPr>
            <w:tcW w:type="dxa" w:w="4195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Driver Monitoring System</w:t>
            </w:r>
          </w:p>
        </w:tc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驾驶员监测系统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PERCLOS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Percentage of Eyelid Closure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单位时间内闭眼时间占比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HRV</w:t>
            </w:r>
          </w:p>
        </w:tc>
        <w:tc>
          <w:tcPr>
            <w:tcW w:type="dxa" w:w="4195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Heart Rate Variability</w:t>
            </w:r>
          </w:p>
        </w:tc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心率变异性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GSR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Galvanic Skin Response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皮肤电反应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FSR</w:t>
            </w:r>
          </w:p>
        </w:tc>
        <w:tc>
          <w:tcPr>
            <w:tcW w:type="dxa" w:w="4195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Force Sensing Resistor</w:t>
            </w:r>
          </w:p>
        </w:tc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薄膜压力传感器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HIL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Hardware-in-the-Loop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硬件在环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SOTIF</w:t>
            </w:r>
          </w:p>
        </w:tc>
        <w:tc>
          <w:tcPr>
            <w:tcW w:type="dxa" w:w="4195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Safety of the Intended Functionality</w:t>
            </w:r>
          </w:p>
        </w:tc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预期功能安全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FPR / TPR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False / True Positive Rate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误报率 / 真阳性率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HMI</w:t>
            </w:r>
          </w:p>
        </w:tc>
        <w:tc>
          <w:tcPr>
            <w:tcW w:type="dxa" w:w="4195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Human-Machine Interface</w:t>
            </w:r>
          </w:p>
        </w:tc>
        <w:tc>
          <w:tcPr>
            <w:tcW w:type="dxa" w:w="3061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人机交互界面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/>
                <w:color w:val="1A202C"/>
                <w:sz w:val="16"/>
              </w:rPr>
              <w:t>NPU</w:t>
            </w:r>
          </w:p>
        </w:tc>
        <w:tc>
          <w:tcPr>
            <w:tcW w:type="dxa" w:w="4195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Neural Processing Unit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40" w:after="40" w:line="283" w:lineRule="auto"/>
              <w:jc w:val="left"/>
            </w:pPr>
            <w:r/>
            <w:r>
              <w:rPr>
                <w:rFonts w:ascii="Segoe UI" w:hAnsi="Segoe UI" w:eastAsia="微软雅黑" w:cs="Segoe UI"/>
                <w:b w:val="0"/>
                <w:color w:val="1A202C"/>
                <w:sz w:val="16"/>
              </w:rPr>
              <w:t>神经网络处理单元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  <w:keepNext/>
        <w:spacing w:before="260" w:after="120" w:line="300" w:lineRule="auto"/>
      </w:pPr>
      <w:r>
        <w:rPr>
          <w:rFonts w:ascii="Segoe UI" w:hAnsi="Segoe UI" w:eastAsia="黑体" w:cs="Segoe UI"/>
          <w:b/>
          <w:color w:val="2E5C8A"/>
          <w:sz w:val="27"/>
        </w:rPr>
        <w:t>附录 B</w:t>
      </w:r>
      <w:r>
        <w:rPr>
          <w:rFonts w:ascii="Segoe UI" w:hAnsi="Segoe UI" w:eastAsia="黑体" w:cs="Segoe UI"/>
          <w:b/>
          <w:color w:val="1F3864"/>
          <w:sz w:val="26"/>
        </w:rPr>
        <w:t xml:space="preserve">  参考资料</w:t>
      </w:r>
    </w:p>
    <w:p>
      <w:pPr>
        <w:widowControl/>
        <w:spacing w:before="0" w:after="120" w:line="372" w:lineRule="auto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本方案引用的标准、法规与开源平台如下。正式提交前请核对最新有效版本与条款号。</w:t>
      </w:r>
    </w:p>
    <w:p>
      <w:pPr>
        <w:keepNext/>
        <w:spacing w:before="180" w:after="80" w:line="312" w:lineRule="auto"/>
      </w:pPr>
      <w:r>
        <w:rPr>
          <w:rFonts w:ascii="Segoe UI" w:hAnsi="Segoe UI" w:eastAsia="黑体" w:cs="Segoe UI"/>
          <w:b/>
          <w:color w:val="C04722"/>
          <w:sz w:val="23"/>
        </w:rPr>
        <w:t>标准与法规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1.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GB/T 40429-2021，《汽车驾驶自动化分级》.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2.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GB/T 41797-2022，《驾驶员注意力监测系统性能要求及试验方法》.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3.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UN Regulation No. 157，《Automated Lane Keeping Systems (ALKS)》及其修订版.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4.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ISO 21448:2022，《Road vehicles — Safety of the intended functionality》.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5.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ISO 26262:2018，《Road vehicles — Functional safety》.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6.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《中华人民共和国个人信息保护法》（2021），关于敏感个人信息处理的条款.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7.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《关于开展智能网联汽车准入和上路通行试点工作的通知》（2023）.</w:t>
      </w:r>
    </w:p>
    <w:p>
      <w:pPr>
        <w:keepNext/>
        <w:spacing w:before="180" w:after="80" w:line="312" w:lineRule="auto"/>
      </w:pPr>
      <w:r>
        <w:rPr>
          <w:rFonts w:ascii="Segoe UI" w:hAnsi="Segoe UI" w:eastAsia="黑体" w:cs="Segoe UI"/>
          <w:b/>
          <w:color w:val="C04722"/>
          <w:sz w:val="23"/>
        </w:rPr>
        <w:t>开源平台与工具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1.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CARLA Simulator，开源自动驾驶仿真平台（carla.org），用于场景构建与闭环仿真.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2.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ROS 2 Humble，机器人中间件，用于节点化软件架构.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3.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MediaPipe / RTMPose，人体与手部关键点检测开源方案，用于头姿与手部位置估计.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4.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RKNN Toolkit2，瑞芯微 NPU 模型转换与推理工具链.</w:t>
      </w:r>
    </w:p>
    <w:p>
      <w:pPr>
        <w:spacing w:before="20" w:after="60" w:line="360" w:lineRule="auto"/>
        <w:ind w:left="624" w:hanging="397"/>
        <w:jc w:val="both"/>
      </w:pPr>
      <w:r>
        <w:rPr>
          <w:rFonts w:ascii="Times New Roman" w:hAnsi="Times New Roman" w:eastAsia="宋体" w:cs="Times New Roman"/>
          <w:b/>
          <w:color w:val="2E5C8A"/>
          <w:sz w:val="20"/>
        </w:rPr>
        <w:t xml:space="preserve">5. </w:t>
      </w:r>
      <w:r>
        <w:rPr>
          <w:rFonts w:ascii="Times New Roman" w:hAnsi="Times New Roman" w:eastAsia="宋体" w:cs="Times New Roman"/>
          <w:b w:val="0"/>
          <w:color w:val="1A202C"/>
          <w:sz w:val="20"/>
        </w:rPr>
        <w:t>OpenCV，图像预处理与相机标定.</w:t>
      </w:r>
    </w:p>
    <w:p>
      <w:pPr>
        <w:keepNext/>
        <w:spacing w:before="180" w:after="80" w:line="312" w:lineRule="auto"/>
      </w:pPr>
      <w:r>
        <w:rPr>
          <w:rFonts w:ascii="Segoe UI" w:hAnsi="Segoe UI" w:eastAsia="黑体" w:cs="Segoe UI"/>
          <w:b/>
          <w:color w:val="C04722"/>
          <w:sz w:val="23"/>
        </w:rPr>
        <w:t>文献检索建议</w:t>
      </w:r>
    </w:p>
    <w:p>
      <w:pPr>
        <w:widowControl/>
        <w:spacing w:before="0" w:after="120" w:line="372" w:lineRule="auto"/>
        <w:jc w:val="both"/>
      </w:pPr>
      <w:r>
        <w:rPr>
          <w:rFonts w:ascii="Times New Roman" w:hAnsi="Times New Roman" w:eastAsia="宋体" w:cs="Times New Roman"/>
          <w:b w:val="0"/>
          <w:color w:val="1A202C"/>
          <w:sz w:val="22"/>
        </w:rPr>
        <w:t>本方案涉及的核心概念建议按以下关键词检索最新综述，答辩前补充 8–10 篇近三年文献：driver take-over readiness、take-over time prediction、driver monitoring system、multimodal driver state estimation、human-machine shared control、minimum risk maneuver、driver distraction detection。</w:t>
      </w:r>
    </w:p>
    <w:p>
      <w:pPr>
        <w:spacing w:before="360" w:after="80"/>
        <w:jc w:val="center"/>
      </w:pPr>
      <w:r>
        <w:rPr>
          <w:rFonts w:ascii="Segoe UI" w:hAnsi="Segoe UI" w:eastAsia="黑体" w:cs="Segoe UI"/>
          <w:b w:val="0"/>
          <w:color w:val="596674"/>
          <w:sz w:val="19"/>
        </w:rPr>
        <w:t>— 本文档为方案讨论稿，数据与指标随实验进展更新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89" w:bottom="1247" w:left="1389" w:header="73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 w:cs="Segoe UI"/>
        <w:b w:val="0"/>
        <w:color w:val="596674"/>
        <w:sz w:val="18"/>
      </w:rPr>
      <w:t xml:space="preserve">—  </w:t>
    </w:r>
    <w:r>
      <w:rPr>
        <w:rFonts w:ascii="Segoe UI" w:hAnsi="Segoe UI" w:eastAsia="微软雅黑" w:cs="Segoe UI"/>
        <w:b w:val="0"/>
        <w:color w:val="596674"/>
        <w:sz w:val="18"/>
      </w:rPr>
    </w:r>
    <w:fldSimple w:instr="PAGE">
      <w:r>
        <w:rPr>
          <w:sz w:val="18"/>
        </w:rPr>
        <w:t>1</w:t>
      </w:r>
    </w:fldSimple>
    <w:r>
      <w:rPr>
        <w:rFonts w:ascii="Segoe UI" w:hAnsi="Segoe UI" w:eastAsia="微软雅黑" w:cs="Segoe UI"/>
        <w:b w:val="0"/>
        <w:color w:val="596674"/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2" w:color="C9D3DF"/>
      </w:pBdr>
    </w:pPr>
    <w:r>
      <w:rPr>
        <w:rFonts w:ascii="Segoe UI" w:hAnsi="Segoe UI" w:eastAsia="微软雅黑" w:cs="Segoe UI"/>
        <w:b w:val="0"/>
        <w:color w:val="596674"/>
        <w:sz w:val="16"/>
      </w:rPr>
      <w:t>L2/L3 智能驾驶车辆驾驶人状态检测及提醒预警监测系统　·　参赛方案书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L2/L3 智能驾驶车辆驾驶人状态检测及提醒预警监测系统 — 参赛方案书</dc:title>
  <dc:subject>交通科技大赛参赛方案（含实物与仿真实现路径）</dc:subject>
  <dc:creator>参赛团队</dc:creator>
  <cp:keywords>智能驾驶；驾驶人状态监测；可接管度；接管时间预算；多模态融合；硬件在环</cp:keywords>
  <dc:description>讨论稿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