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Création d’une société à Madagascar</w:t>
      </w:r>
    </w:p>
    <w:p>
      <w:pPr>
        <w:spacing w:after="120"/>
        <w:jc w:val="center"/>
      </w:pPr>
      <w:r>
        <w:rPr>
          <w:rFonts w:ascii="Calibri" w:cs="Calibri" w:eastAsia="Calibri" w:hAnsi="Calibri"/>
          <w:color w:val="595959"/>
          <w:sz w:val="26"/>
          <w:szCs w:val="26"/>
        </w:rPr>
        <w:t xml:space="preserve">Procédure auprès du Guichet unique de l’EDBM : guide vérifié et corrigé</w:t>
      </w:r>
    </w:p>
    <w:p>
      <w:pPr>
        <w:pBdr>
          <w:bottom w:val="single" w:color="2E5597" w:sz="8" w:space="8"/>
        </w:pBdr>
        <w:spacing w:after="360"/>
        <w:jc w:val="center"/>
      </w:pPr>
      <w:r>
        <w:rPr>
          <w:rFonts w:ascii="Calibri" w:cs="Calibri" w:eastAsia="Calibri" w:hAnsi="Calibri"/>
          <w:i/>
          <w:iCs/>
          <w:color w:val="595959"/>
          <w:sz w:val="22"/>
          <w:szCs w:val="22"/>
        </w:rPr>
        <w:t xml:space="preserve">Recherches effectuées le 14 octobre 2026</w:t>
      </w:r>
    </w:p>
    <w:p>
      <w:pPr>
        <w:pStyle w:val="Heading1"/>
        <w:spacing w:after="140" w:before="320"/>
      </w:pPr>
      <w:r>
        <w:rPr>
          <w:rFonts w:ascii="Calibri" w:cs="Calibri" w:eastAsia="Calibri" w:hAnsi="Calibri"/>
          <w:b/>
          <w:bCs/>
          <w:color w:val="1F3864"/>
          <w:sz w:val="30"/>
          <w:szCs w:val="30"/>
        </w:rPr>
        <w:t xml:space="preserve">1. Synthèse : ce qui change par rapport au guide initial</w:t>
      </w:r>
    </w:p>
    <w:p>
      <w:pPr>
        <w:spacing w:after="120" w:line="276"/>
      </w:pPr>
      <w:r>
        <w:rPr>
          <w:rFonts w:ascii="Calibri" w:cs="Calibri" w:eastAsia="Calibri" w:hAnsi="Calibri"/>
          <w:sz w:val="22"/>
          <w:szCs w:val="22"/>
        </w:rPr>
        <w:t xml:space="preserve">Le guide de départ est bien structuré en quatre étapes, mais plusieurs points doivent être corrigés ou nuancés avant une présentation devant un enseignant :</w:t>
      </w:r>
    </w:p>
    <w:p>
      <w:pPr>
        <w:pStyle w:val="ListParagraph"/>
        <w:numPr>
          <w:ilvl w:val="0"/>
          <w:numId w:val="2"/>
        </w:numPr>
        <w:spacing w:after="80" w:line="276"/>
      </w:pPr>
      <w:r>
        <w:rPr>
          <w:rFonts w:ascii="Calibri" w:cs="Calibri" w:eastAsia="Calibri" w:hAnsi="Calibri"/>
          <w:b/>
          <w:bCs/>
          <w:sz w:val="22"/>
          <w:szCs w:val="22"/>
        </w:rPr>
        <w:t xml:space="preserve">OHADA : </w:t>
      </w:r>
      <w:r>
        <w:rPr>
          <w:rFonts w:ascii="Calibri" w:cs="Calibri" w:eastAsia="Calibri" w:hAnsi="Calibri"/>
          <w:sz w:val="22"/>
          <w:szCs w:val="22"/>
        </w:rPr>
        <w:t xml:space="preserve">Madagascar n’est pas membre de l’OHADA. Les sociétés commerciales relèvent de la loi n° 2003-036 du 30 janvier 2004, qui s’inspire de l’acte uniforme OHADA de 1998 sans l’appliquer directement.</w:t>
      </w:r>
    </w:p>
    <w:p>
      <w:pPr>
        <w:pStyle w:val="ListParagraph"/>
        <w:numPr>
          <w:ilvl w:val="0"/>
          <w:numId w:val="2"/>
        </w:numPr>
        <w:spacing w:after="80" w:line="276"/>
      </w:pPr>
      <w:r>
        <w:rPr>
          <w:rFonts w:ascii="Calibri" w:cs="Calibri" w:eastAsia="Calibri" w:hAnsi="Calibri"/>
          <w:b/>
          <w:bCs/>
          <w:sz w:val="22"/>
          <w:szCs w:val="22"/>
        </w:rPr>
        <w:t xml:space="preserve">Capital de la SARL : </w:t>
      </w:r>
      <w:r>
        <w:rPr>
          <w:rFonts w:ascii="Calibri" w:cs="Calibri" w:eastAsia="Calibri" w:hAnsi="Calibri"/>
          <w:sz w:val="22"/>
          <w:szCs w:val="22"/>
        </w:rPr>
        <w:t xml:space="preserve">aucun minimum légal, ce qui est confirmé par la loi n° 2008-032 qui a supprimé cette exigence.</w:t>
      </w:r>
    </w:p>
    <w:p>
      <w:pPr>
        <w:pStyle w:val="ListParagraph"/>
        <w:numPr>
          <w:ilvl w:val="0"/>
          <w:numId w:val="2"/>
        </w:numPr>
        <w:spacing w:after="80" w:line="276"/>
      </w:pPr>
      <w:r>
        <w:rPr>
          <w:rFonts w:ascii="Calibri" w:cs="Calibri" w:eastAsia="Calibri" w:hAnsi="Calibri"/>
          <w:b/>
          <w:bCs/>
          <w:sz w:val="22"/>
          <w:szCs w:val="22"/>
        </w:rPr>
        <w:t xml:space="preserve">Délai de création : </w:t>
      </w:r>
      <w:r>
        <w:rPr>
          <w:rFonts w:ascii="Calibri" w:cs="Calibri" w:eastAsia="Calibri" w:hAnsi="Calibri"/>
          <w:sz w:val="22"/>
          <w:szCs w:val="22"/>
        </w:rPr>
        <w:t xml:space="preserve">environ 2 à 3 jours pour le traitement au Guichet unique (moyenne de 1,8 jour selon l’EDBM), à Antananarivo et Tolagnaro ; plus long ailleurs.</w:t>
      </w:r>
    </w:p>
    <w:p>
      <w:pPr>
        <w:pStyle w:val="ListParagraph"/>
        <w:numPr>
          <w:ilvl w:val="0"/>
          <w:numId w:val="2"/>
        </w:numPr>
        <w:spacing w:after="80" w:line="276"/>
      </w:pPr>
      <w:r>
        <w:rPr>
          <w:rFonts w:ascii="Calibri" w:cs="Calibri" w:eastAsia="Calibri" w:hAnsi="Calibri"/>
          <w:b/>
          <w:bCs/>
          <w:sz w:val="22"/>
          <w:szCs w:val="22"/>
        </w:rPr>
        <w:t xml:space="preserve">Impôt synthétique : </w:t>
      </w:r>
      <w:r>
        <w:rPr>
          <w:rFonts w:ascii="Calibri" w:cs="Calibri" w:eastAsia="Calibri" w:hAnsi="Calibri"/>
          <w:sz w:val="22"/>
          <w:szCs w:val="22"/>
        </w:rPr>
        <w:t xml:space="preserve">le seuil de 100 000 000 Ar est dépassé ; les sources récentes indiquent 400 000 000 Ar (loi de finances 2026).</w:t>
      </w:r>
    </w:p>
    <w:p>
      <w:pPr>
        <w:pStyle w:val="ListParagraph"/>
        <w:numPr>
          <w:ilvl w:val="0"/>
          <w:numId w:val="2"/>
        </w:numPr>
        <w:spacing w:after="80" w:line="276"/>
      </w:pPr>
      <w:r>
        <w:rPr>
          <w:rFonts w:ascii="Calibri" w:cs="Calibri" w:eastAsia="Calibri" w:hAnsi="Calibri"/>
          <w:b/>
          <w:bCs/>
          <w:sz w:val="22"/>
          <w:szCs w:val="22"/>
        </w:rPr>
        <w:t xml:space="preserve">Tableau des frais : </w:t>
      </w:r>
      <w:r>
        <w:rPr>
          <w:rFonts w:ascii="Calibri" w:cs="Calibri" w:eastAsia="Calibri" w:hAnsi="Calibri"/>
          <w:sz w:val="22"/>
          <w:szCs w:val="22"/>
        </w:rPr>
        <w:t xml:space="preserve">je n’ai trouvé aucune source officielle confirmant les montants poste par poste. Ils doivent être vérifiés avec le simulateur de frais de la plateforme ORINASA de l’EDBM avant d’être présentés comme exacts.</w:t>
      </w:r>
    </w:p>
    <w:p>
      <w:pPr>
        <w:pStyle w:val="Heading1"/>
        <w:spacing w:after="140" w:before="320"/>
      </w:pPr>
      <w:r>
        <w:rPr>
          <w:rFonts w:ascii="Calibri" w:cs="Calibri" w:eastAsia="Calibri" w:hAnsi="Calibri"/>
          <w:b/>
          <w:bCs/>
          <w:color w:val="1F3864"/>
          <w:sz w:val="30"/>
          <w:szCs w:val="30"/>
        </w:rPr>
        <w:t xml:space="preserve">2. Cadre juridique</w:t>
      </w:r>
    </w:p>
    <w:p>
      <w:pPr>
        <w:pStyle w:val="Heading2"/>
        <w:spacing w:after="100" w:before="220"/>
      </w:pPr>
      <w:r>
        <w:rPr>
          <w:rFonts w:ascii="Calibri" w:cs="Calibri" w:eastAsia="Calibri" w:hAnsi="Calibri"/>
          <w:b/>
          <w:bCs/>
          <w:color w:val="2E5597"/>
          <w:sz w:val="25"/>
          <w:szCs w:val="25"/>
        </w:rPr>
        <w:t xml:space="preserve">2.1 Textes applicables</w:t>
      </w:r>
    </w:p>
    <w:p>
      <w:pPr>
        <w:pStyle w:val="ListParagraph"/>
        <w:numPr>
          <w:ilvl w:val="0"/>
          <w:numId w:val="2"/>
        </w:numPr>
        <w:spacing w:after="80" w:line="276"/>
      </w:pPr>
      <w:r>
        <w:rPr>
          <w:rFonts w:ascii="Calibri" w:cs="Calibri" w:eastAsia="Calibri" w:hAnsi="Calibri"/>
          <w:b/>
          <w:bCs/>
          <w:sz w:val="22"/>
          <w:szCs w:val="22"/>
        </w:rPr>
        <w:t xml:space="preserve">Loi n° 2003-036 du 30 janvier 2004 sur les sociétés commerciales : </w:t>
      </w:r>
      <w:r>
        <w:rPr>
          <w:rFonts w:ascii="Calibri" w:cs="Calibri" w:eastAsia="Calibri" w:hAnsi="Calibri"/>
          <w:sz w:val="22"/>
          <w:szCs w:val="22"/>
        </w:rPr>
        <w:t xml:space="preserve">texte de base. Elle regroupe les sociétés en nom collectif, en commandite simple, en commandite par actions, les SARL et les SA, et prévoit notamment la SARL et la SA unipersonnelles. Son exposé des motifs rappelle que la refonte s’est faite en s’inspirant de l’acte uniforme OHADA.</w:t>
      </w:r>
    </w:p>
    <w:p>
      <w:pPr>
        <w:pStyle w:val="ListParagraph"/>
        <w:numPr>
          <w:ilvl w:val="0"/>
          <w:numId w:val="2"/>
        </w:numPr>
        <w:spacing w:after="80" w:line="276"/>
      </w:pPr>
      <w:r>
        <w:rPr>
          <w:rFonts w:ascii="Calibri" w:cs="Calibri" w:eastAsia="Calibri" w:hAnsi="Calibri"/>
          <w:b/>
          <w:bCs/>
          <w:sz w:val="22"/>
          <w:szCs w:val="22"/>
        </w:rPr>
        <w:t xml:space="preserve">Loi n° 2008-032 : </w:t>
      </w:r>
      <w:r>
        <w:rPr>
          <w:rFonts w:ascii="Calibri" w:cs="Calibri" w:eastAsia="Calibri" w:hAnsi="Calibri"/>
          <w:sz w:val="22"/>
          <w:szCs w:val="22"/>
        </w:rPr>
        <w:t xml:space="preserve">modifie la loi de 2003 et supprime l’exigence d’un capital minimum dans les SARL, le montant étant désormais librement fixé par les associés.</w:t>
      </w:r>
    </w:p>
    <w:p>
      <w:pPr>
        <w:pStyle w:val="ListParagraph"/>
        <w:numPr>
          <w:ilvl w:val="0"/>
          <w:numId w:val="2"/>
        </w:numPr>
        <w:spacing w:after="80" w:line="276"/>
      </w:pPr>
      <w:r>
        <w:rPr>
          <w:rFonts w:ascii="Calibri" w:cs="Calibri" w:eastAsia="Calibri" w:hAnsi="Calibri"/>
          <w:b/>
          <w:bCs/>
          <w:sz w:val="22"/>
          <w:szCs w:val="22"/>
        </w:rPr>
        <w:t xml:space="preserve">Code général des impôts et loi de finances : </w:t>
      </w:r>
      <w:r>
        <w:rPr>
          <w:rFonts w:ascii="Calibri" w:cs="Calibri" w:eastAsia="Calibri" w:hAnsi="Calibri"/>
          <w:sz w:val="22"/>
          <w:szCs w:val="22"/>
        </w:rPr>
        <w:t xml:space="preserve">pour la fiscalité (la loi de finances 2026 porte le n° 2025-021, en vigueur depuis le 1er janvier 2026).</w:t>
      </w:r>
    </w:p>
    <w:p>
      <w:pPr>
        <w:spacing w:after="120" w:before="80"/>
      </w:pPr>
      <w:r>
        <w:rPr>
          <w:rFonts w:ascii="Calibri" w:cs="Calibri" w:eastAsia="Calibri" w:hAnsi="Calibri"/>
          <w:b/>
          <w:bCs/>
          <w:sz w:val="22"/>
          <w:szCs w:val="22"/>
        </w:rPr>
        <w:t xml:space="preserve">Attention : </w:t>
      </w:r>
      <w:r>
        <w:rPr>
          <w:rFonts w:ascii="Calibri" w:cs="Calibri" w:eastAsia="Calibri" w:hAnsi="Calibri"/>
          <w:sz w:val="22"/>
          <w:szCs w:val="22"/>
        </w:rPr>
        <w:t xml:space="preserve">certains sites commerciaux affirment que Madagascar applique l’acte uniforme OHADA. Cette affirmation est contredite par le texte de la loi lui-même ; elle ne doit pas être reprise.</w:t>
      </w:r>
    </w:p>
    <w:p>
      <w:pPr>
        <w:pStyle w:val="Heading2"/>
        <w:spacing w:after="100" w:before="220"/>
      </w:pPr>
      <w:r>
        <w:rPr>
          <w:rFonts w:ascii="Calibri" w:cs="Calibri" w:eastAsia="Calibri" w:hAnsi="Calibri"/>
          <w:b/>
          <w:bCs/>
          <w:color w:val="2E5597"/>
          <w:sz w:val="25"/>
          <w:szCs w:val="25"/>
        </w:rPr>
        <w:t xml:space="preserve">2.2 SARL ou SA : le choix qui structure le dossier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Critère</w:t>
            </w:r>
          </w:p>
        </w:tc>
        <w:tc>
          <w:tcPr>
            <w:tcW w:type="dxa" w:w="37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SARL</w:t>
            </w:r>
          </w:p>
        </w:tc>
        <w:tc>
          <w:tcPr>
            <w:tcW w:type="dxa" w:w="371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SA</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Capital minimum</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Aucun, librement fixé par les associés (loi 2008-032).</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10 000 000 Ar d’après la plupart des sources ; une source mentionne 2 000 000 Ar avec un actionnaire unique ; une autre cite 20 000 000 Ar. À confirmer dans le texte de loi.</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Libération à la constitution</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Non confirmé par mes sources.</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Un quart du capital selon une source (2 500 000 Ar pour 10 M). À confirmer.</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Nombre d’associés</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Minimum 1 (SARL unipersonnelle). Maximum : 20 ou 50 selon les sources, à confirmer.</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Minimum 3 ou 7 selon les sources, à confirmer. Possibilité d’une SA unipersonnelle ou avec administrateur général selon l’exposé des motifs.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Usage typique</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Petites et moyennes structures, démarrage simple.</w:t>
            </w:r>
          </w:p>
        </w:tc>
        <w:tc>
          <w:tcPr>
            <w:tcW w:type="dxa" w:w="371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Structures plus importantes, appel à des investisseurs.</w:t>
            </w:r>
          </w:p>
        </w:tc>
      </w:tr>
    </w:tbl>
    <w:p>
      <w:pPr>
        <w:spacing w:after="120" w:before="120"/>
      </w:pPr>
      <w:r>
        <w:rPr>
          <w:rFonts w:ascii="Calibri" w:cs="Calibri" w:eastAsia="Calibri" w:hAnsi="Calibri"/>
          <w:sz w:val="22"/>
          <w:szCs w:val="22"/>
        </w:rPr>
        <w:t xml:space="preserve">Les écarts entre sources viennent de sites de conseil dont l’exactitude n’est pas garantie. Pour les points marqués « à confirmer », la référence est le texte intégral de la loi 2003-036 modifiée, disponible sur le site de l’Assemblée nationale.</w:t>
      </w:r>
    </w:p>
    <w:p>
      <w:pPr>
        <w:pStyle w:val="Heading1"/>
        <w:spacing w:after="140" w:before="320"/>
      </w:pPr>
      <w:r>
        <w:rPr>
          <w:rFonts w:ascii="Calibri" w:cs="Calibri" w:eastAsia="Calibri" w:hAnsi="Calibri"/>
          <w:b/>
          <w:bCs/>
          <w:color w:val="1F3864"/>
          <w:sz w:val="30"/>
          <w:szCs w:val="30"/>
        </w:rPr>
        <w:t xml:space="preserve">3. Les quatre étapes de la création</w:t>
      </w:r>
    </w:p>
    <w:p>
      <w:pPr>
        <w:pStyle w:val="Heading2"/>
        <w:spacing w:after="100" w:before="220"/>
      </w:pPr>
      <w:r>
        <w:rPr>
          <w:rFonts w:ascii="Calibri" w:cs="Calibri" w:eastAsia="Calibri" w:hAnsi="Calibri"/>
          <w:b/>
          <w:bCs/>
          <w:color w:val="2E5597"/>
          <w:sz w:val="25"/>
          <w:szCs w:val="25"/>
        </w:rPr>
        <w:t xml:space="preserve">Étape 1 : préparer le dossier</w:t>
      </w:r>
    </w:p>
    <w:p>
      <w:pPr>
        <w:pStyle w:val="ListParagraph"/>
        <w:numPr>
          <w:ilvl w:val="0"/>
          <w:numId w:val="2"/>
        </w:numPr>
        <w:spacing w:after="80" w:line="276"/>
      </w:pPr>
      <w:r>
        <w:rPr>
          <w:rFonts w:ascii="Calibri" w:cs="Calibri" w:eastAsia="Calibri" w:hAnsi="Calibri"/>
          <w:sz w:val="22"/>
          <w:szCs w:val="22"/>
        </w:rPr>
        <w:t xml:space="preserve">Vérifier la disponibilité de la dénomination sociale auprès du registre du commerce.</w:t>
      </w:r>
    </w:p>
    <w:p>
      <w:pPr>
        <w:pStyle w:val="ListParagraph"/>
        <w:numPr>
          <w:ilvl w:val="0"/>
          <w:numId w:val="2"/>
        </w:numPr>
        <w:spacing w:after="80" w:line="276"/>
      </w:pPr>
      <w:r>
        <w:rPr>
          <w:rFonts w:ascii="Calibri" w:cs="Calibri" w:eastAsia="Calibri" w:hAnsi="Calibri"/>
          <w:sz w:val="22"/>
          <w:szCs w:val="22"/>
        </w:rPr>
        <w:t xml:space="preserve">Rédiger les statuts conformément à la loi 2003-036 : objet social, durée, siège, gérance, répartition du capital. La durée maximale d’une société est de 99 ans selon une source.</w:t>
      </w:r>
    </w:p>
    <w:p>
      <w:pPr>
        <w:pStyle w:val="ListParagraph"/>
        <w:numPr>
          <w:ilvl w:val="0"/>
          <w:numId w:val="2"/>
        </w:numPr>
        <w:spacing w:after="80" w:line="276"/>
      </w:pPr>
      <w:r>
        <w:rPr>
          <w:rFonts w:ascii="Calibri" w:cs="Calibri" w:eastAsia="Calibri" w:hAnsi="Calibri"/>
          <w:sz w:val="22"/>
          <w:szCs w:val="22"/>
        </w:rPr>
        <w:t xml:space="preserve">Justifier du siège social (bail commercial ou attestation de domiciliation).</w:t>
      </w:r>
    </w:p>
    <w:p>
      <w:pPr>
        <w:pStyle w:val="ListParagraph"/>
        <w:numPr>
          <w:ilvl w:val="0"/>
          <w:numId w:val="2"/>
        </w:numPr>
        <w:spacing w:after="80" w:line="276"/>
      </w:pPr>
      <w:r>
        <w:rPr>
          <w:rFonts w:ascii="Calibri" w:cs="Calibri" w:eastAsia="Calibri" w:hAnsi="Calibri"/>
          <w:sz w:val="22"/>
          <w:szCs w:val="22"/>
        </w:rPr>
        <w:t xml:space="preserve">Fournir les pièces d’identité des associés et dirigeants (CIN pour les nationaux, passeport pour les étrangers).</w:t>
      </w:r>
    </w:p>
    <w:p>
      <w:pPr>
        <w:pStyle w:val="Heading2"/>
        <w:spacing w:after="100" w:before="220"/>
      </w:pPr>
      <w:r>
        <w:rPr>
          <w:rFonts w:ascii="Calibri" w:cs="Calibri" w:eastAsia="Calibri" w:hAnsi="Calibri"/>
          <w:b/>
          <w:bCs/>
          <w:color w:val="2E5597"/>
          <w:sz w:val="25"/>
          <w:szCs w:val="25"/>
        </w:rPr>
        <w:t xml:space="preserve">Étape 2 : déposer le capital en banque</w:t>
      </w:r>
    </w:p>
    <w:p>
      <w:pPr>
        <w:pStyle w:val="ListParagraph"/>
        <w:numPr>
          <w:ilvl w:val="0"/>
          <w:numId w:val="2"/>
        </w:numPr>
        <w:spacing w:after="80" w:line="276"/>
      </w:pPr>
      <w:r>
        <w:rPr>
          <w:rFonts w:ascii="Calibri" w:cs="Calibri" w:eastAsia="Calibri" w:hAnsi="Calibri"/>
          <w:sz w:val="22"/>
          <w:szCs w:val="22"/>
        </w:rPr>
        <w:t xml:space="preserve">Le capital est déposé dans une banque agréée à Madagascar, qui remet une attestation de dépôt à joindre au dossier.</w:t>
      </w:r>
    </w:p>
    <w:p>
      <w:pPr>
        <w:pStyle w:val="ListParagraph"/>
        <w:numPr>
          <w:ilvl w:val="0"/>
          <w:numId w:val="2"/>
        </w:numPr>
        <w:spacing w:after="80" w:line="276"/>
      </w:pPr>
      <w:r>
        <w:rPr>
          <w:rFonts w:ascii="Calibri" w:cs="Calibri" w:eastAsia="Calibri" w:hAnsi="Calibri"/>
          <w:sz w:val="22"/>
          <w:szCs w:val="22"/>
        </w:rPr>
        <w:t xml:space="preserve">SARL : montant libre. SA : 10 000 000 Ar d’après la plupart des sources (voir 2.2).</w:t>
      </w:r>
    </w:p>
    <w:p>
      <w:pPr>
        <w:pStyle w:val="Heading2"/>
        <w:spacing w:after="100" w:before="220"/>
      </w:pPr>
      <w:r>
        <w:rPr>
          <w:rFonts w:ascii="Calibri" w:cs="Calibri" w:eastAsia="Calibri" w:hAnsi="Calibri"/>
          <w:b/>
          <w:bCs/>
          <w:color w:val="2E5597"/>
          <w:sz w:val="25"/>
          <w:szCs w:val="25"/>
        </w:rPr>
        <w:t xml:space="preserve">Étape 3 : dépôt au Guichet unique de l’EDBM</w:t>
      </w:r>
    </w:p>
    <w:p>
      <w:pPr>
        <w:spacing w:after="120" w:line="276"/>
      </w:pPr>
      <w:r>
        <w:rPr>
          <w:rFonts w:ascii="Calibri" w:cs="Calibri" w:eastAsia="Calibri" w:hAnsi="Calibri"/>
          <w:sz w:val="22"/>
          <w:szCs w:val="22"/>
        </w:rPr>
        <w:t xml:space="preserve">Le Guichet unique de l’EDBM réunit les formalités auprès du registre du commerce, de l’administration fiscale et de l’INSTAT. Depuis quelques années, les opérateurs peuvent accomplir les formalités en ligne via la plateforme ORINASA, qui propose la liste des documents requis, un simulateur de frais et un suivi du dossier.</w:t>
      </w:r>
    </w:p>
    <w:p>
      <w:pPr>
        <w:pStyle w:val="ListParagraph"/>
        <w:numPr>
          <w:ilvl w:val="0"/>
          <w:numId w:val="2"/>
        </w:numPr>
        <w:spacing w:after="80" w:line="276"/>
      </w:pPr>
      <w:r>
        <w:rPr>
          <w:rFonts w:ascii="Calibri" w:cs="Calibri" w:eastAsia="Calibri" w:hAnsi="Calibri"/>
          <w:b/>
          <w:bCs/>
          <w:sz w:val="22"/>
          <w:szCs w:val="22"/>
        </w:rPr>
        <w:t xml:space="preserve">Délai de création de la société : </w:t>
      </w:r>
      <w:r>
        <w:rPr>
          <w:rFonts w:ascii="Calibri" w:cs="Calibri" w:eastAsia="Calibri" w:hAnsi="Calibri"/>
          <w:sz w:val="22"/>
          <w:szCs w:val="22"/>
        </w:rPr>
        <w:t xml:space="preserve">une fois le dossier complet déposé, l’EDBM annonçait en 2024 un délai moyen d’immatriculation de 1,8 jour (moins de 48 heures). Une autre source parle de 24 à 48 heures, et de 3 à 5 jours ouvrables pour une procédure express avec frais supplémentaires.</w:t>
      </w:r>
    </w:p>
    <w:p>
      <w:pPr>
        <w:pStyle w:val="ListParagraph"/>
        <w:numPr>
          <w:ilvl w:val="0"/>
          <w:numId w:val="2"/>
        </w:numPr>
        <w:spacing w:after="80" w:line="276"/>
      </w:pPr>
      <w:r>
        <w:rPr>
          <w:rFonts w:ascii="Calibri" w:cs="Calibri" w:eastAsia="Calibri" w:hAnsi="Calibri"/>
          <w:sz w:val="22"/>
          <w:szCs w:val="22"/>
        </w:rPr>
        <w:t xml:space="preserve">Ce délai varie selon le lieu : en 2025, le responsable de l’antenne de Toliara précisait que le délai de trois jours ne vaut que pour Antananarivo et Tolagnaro ; ailleurs, il faut davantage de temps.</w:t>
      </w:r>
    </w:p>
    <w:p>
      <w:pPr>
        <w:pStyle w:val="ListParagraph"/>
        <w:numPr>
          <w:ilvl w:val="0"/>
          <w:numId w:val="2"/>
        </w:numPr>
        <w:spacing w:after="80" w:line="276"/>
      </w:pPr>
      <w:r>
        <w:rPr>
          <w:rFonts w:ascii="Calibri" w:cs="Calibri" w:eastAsia="Calibri" w:hAnsi="Calibri"/>
          <w:sz w:val="22"/>
          <w:szCs w:val="22"/>
        </w:rPr>
        <w:t xml:space="preserve">Le délai total de création, depuis la préparation des statuts et du dépôt en banque jusqu’à la remise des documents, est plus long que le seul traitement du guichet. Aucune source ne chiffre cette durée globale : le « 10 à 15 jours » du guide initial est une estimation à présenter comme telle.</w:t>
      </w:r>
    </w:p>
    <w:p>
      <w:pPr>
        <w:pStyle w:val="ListParagraph"/>
        <w:numPr>
          <w:ilvl w:val="0"/>
          <w:numId w:val="2"/>
        </w:numPr>
        <w:spacing w:after="80" w:line="276"/>
      </w:pPr>
      <w:r>
        <w:rPr>
          <w:rFonts w:ascii="Calibri" w:cs="Calibri" w:eastAsia="Calibri" w:hAnsi="Calibri"/>
          <w:b/>
          <w:bCs/>
          <w:sz w:val="22"/>
          <w:szCs w:val="22"/>
        </w:rPr>
        <w:t xml:space="preserve">Horaires et jour de fermeture : </w:t>
      </w:r>
      <w:r>
        <w:rPr>
          <w:rFonts w:ascii="Calibri" w:cs="Calibri" w:eastAsia="Calibri" w:hAnsi="Calibri"/>
          <w:sz w:val="22"/>
          <w:szCs w:val="22"/>
        </w:rPr>
        <w:t xml:space="preserve">je n’ai trouvé aucune source confirmant les horaires de dépôt et de retrait ni la fermeture le dernier jour du mois. À retirer ou à confirmer auprès de l’EDBM.</w:t>
      </w:r>
    </w:p>
    <w:p>
      <w:pPr>
        <w:pStyle w:val="Heading2"/>
        <w:spacing w:after="100" w:before="220"/>
      </w:pPr>
      <w:r>
        <w:rPr>
          <w:rFonts w:ascii="Calibri" w:cs="Calibri" w:eastAsia="Calibri" w:hAnsi="Calibri"/>
          <w:b/>
          <w:bCs/>
          <w:color w:val="2E5597"/>
          <w:sz w:val="25"/>
          <w:szCs w:val="25"/>
        </w:rPr>
        <w:t xml:space="preserve">Étape 4 : immatriculations et annonce légale</w:t>
      </w:r>
    </w:p>
    <w:p>
      <w:pPr>
        <w:pStyle w:val="ListParagraph"/>
        <w:numPr>
          <w:ilvl w:val="0"/>
          <w:numId w:val="2"/>
        </w:numPr>
        <w:spacing w:after="80" w:line="276"/>
      </w:pPr>
      <w:r>
        <w:rPr>
          <w:rFonts w:ascii="Calibri" w:cs="Calibri" w:eastAsia="Calibri" w:hAnsi="Calibri"/>
          <w:sz w:val="22"/>
          <w:szCs w:val="22"/>
        </w:rPr>
        <w:t xml:space="preserve">Documents délivrés : NIF, numéro RCS, carte statistique, attestation fiscale. Le NIF est gratuit d’après une source.</w:t>
      </w:r>
    </w:p>
    <w:p>
      <w:pPr>
        <w:pStyle w:val="ListParagraph"/>
        <w:numPr>
          <w:ilvl w:val="0"/>
          <w:numId w:val="2"/>
        </w:numPr>
        <w:spacing w:after="80" w:line="276"/>
      </w:pPr>
      <w:r>
        <w:rPr>
          <w:rFonts w:ascii="Calibri" w:cs="Calibri" w:eastAsia="Calibri" w:hAnsi="Calibri"/>
          <w:sz w:val="22"/>
          <w:szCs w:val="22"/>
        </w:rPr>
        <w:t xml:space="preserve">Publication de l’avis de constitution dans un journal d’annonces légales (tarif variable selon le journal).</w:t>
      </w:r>
    </w:p>
    <w:p>
      <w:pPr>
        <w:pStyle w:val="ListParagraph"/>
        <w:numPr>
          <w:ilvl w:val="0"/>
          <w:numId w:val="2"/>
        </w:numPr>
        <w:spacing w:after="80" w:line="276"/>
      </w:pPr>
      <w:r>
        <w:rPr>
          <w:rFonts w:ascii="Calibri" w:cs="Calibri" w:eastAsia="Calibri" w:hAnsi="Calibri"/>
          <w:sz w:val="22"/>
          <w:szCs w:val="22"/>
        </w:rPr>
        <w:t xml:space="preserve">Obligations post-création : déclarations fiscales périodiques, même sans activité.</w:t>
      </w:r>
    </w:p>
    <w:p>
      <w:pPr>
        <w:pStyle w:val="Heading1"/>
        <w:spacing w:after="140" w:before="320"/>
      </w:pPr>
      <w:r>
        <w:rPr>
          <w:rFonts w:ascii="Calibri" w:cs="Calibri" w:eastAsia="Calibri" w:hAnsi="Calibri"/>
          <w:b/>
          <w:bCs/>
          <w:color w:val="1F3864"/>
          <w:sz w:val="30"/>
          <w:szCs w:val="30"/>
        </w:rPr>
        <w:t xml:space="preserve">4. Frais de création</w:t>
      </w:r>
    </w:p>
    <w:p>
      <w:pPr>
        <w:spacing w:after="120" w:line="276"/>
      </w:pPr>
      <w:r>
        <w:rPr>
          <w:rFonts w:ascii="Calibri" w:cs="Calibri" w:eastAsia="Calibri" w:hAnsi="Calibri"/>
          <w:sz w:val="22"/>
          <w:szCs w:val="22"/>
        </w:rPr>
        <w:t xml:space="preserve">Je n’ai pas trouvé de barème officiel et détaillé. Les seules indications retrouvées sont des ordres de grandeur issus de sites privés :</w:t>
      </w:r>
    </w:p>
    <w:p>
      <w:pPr>
        <w:pStyle w:val="ListParagraph"/>
        <w:numPr>
          <w:ilvl w:val="0"/>
          <w:numId w:val="2"/>
        </w:numPr>
        <w:spacing w:after="80" w:line="276"/>
      </w:pPr>
      <w:r>
        <w:rPr>
          <w:rFonts w:ascii="Calibri" w:cs="Calibri" w:eastAsia="Calibri" w:hAnsi="Calibri"/>
          <w:sz w:val="22"/>
          <w:szCs w:val="22"/>
        </w:rPr>
        <w:t xml:space="preserve">Frais EDBM de création : environ 100 000 à 500 000 Ar selon une source.</w:t>
      </w:r>
    </w:p>
    <w:p>
      <w:pPr>
        <w:pStyle w:val="ListParagraph"/>
        <w:numPr>
          <w:ilvl w:val="0"/>
          <w:numId w:val="2"/>
        </w:numPr>
        <w:spacing w:after="80" w:line="276"/>
      </w:pPr>
      <w:r>
        <w:rPr>
          <w:rFonts w:ascii="Calibri" w:cs="Calibri" w:eastAsia="Calibri" w:hAnsi="Calibri"/>
          <w:sz w:val="22"/>
          <w:szCs w:val="22"/>
        </w:rPr>
        <w:t xml:space="preserve">Frais de greffe : 25 000 Ar selon une autre source.</w:t>
      </w:r>
    </w:p>
    <w:p>
      <w:pPr>
        <w:pStyle w:val="ListParagraph"/>
        <w:numPr>
          <w:ilvl w:val="0"/>
          <w:numId w:val="2"/>
        </w:numPr>
        <w:spacing w:after="80" w:line="276"/>
      </w:pPr>
      <w:r>
        <w:rPr>
          <w:rFonts w:ascii="Calibri" w:cs="Calibri" w:eastAsia="Calibri" w:hAnsi="Calibri"/>
          <w:sz w:val="22"/>
          <w:szCs w:val="22"/>
        </w:rPr>
        <w:t xml:space="preserve">Frais de notaire : environ 200 000 à 800 000 Ar, si le recours à un notaire est nécessaire.</w:t>
      </w:r>
    </w:p>
    <w:p>
      <w:pPr>
        <w:spacing w:after="120" w:before="100"/>
      </w:pPr>
      <w:r>
        <w:rPr>
          <w:rFonts w:ascii="Calibri" w:cs="Calibri" w:eastAsia="Calibri" w:hAnsi="Calibri"/>
          <w:sz w:val="22"/>
          <w:szCs w:val="22"/>
        </w:rPr>
        <w:t xml:space="preserve">Le tableau détaillé du guide initial (enregistrement des statuts à 0,5 %, RCS à 16 000 Ar, carte statistique à 40 000 Ar, timbres, visa à 140 000 Ar, etc.) n’a pu être confirmé par aucune source. Il est préférable de le présenter comme une estimation à vérifier avec le simulateur de frais d’ORINASA, ou de le remplacer par les fourchettes ci-dessus. Une source indique aussi que les frais se règlent par chèque visé auprès du département fiscalité de l’EDBM, alors que le guide parlait d’espèces.</w:t>
      </w:r>
    </w:p>
    <w:p>
      <w:pPr>
        <w:pStyle w:val="Heading1"/>
        <w:spacing w:after="140" w:before="320"/>
      </w:pPr>
      <w:r>
        <w:rPr>
          <w:rFonts w:ascii="Calibri" w:cs="Calibri" w:eastAsia="Calibri" w:hAnsi="Calibri"/>
          <w:b/>
          <w:bCs/>
          <w:color w:val="1F3864"/>
          <w:sz w:val="30"/>
          <w:szCs w:val="30"/>
        </w:rPr>
        <w:t xml:space="preserve">5. Fiscalité à la création</w:t>
      </w:r>
    </w:p>
    <w:p>
      <w:pPr>
        <w:pStyle w:val="ListParagraph"/>
        <w:numPr>
          <w:ilvl w:val="0"/>
          <w:numId w:val="2"/>
        </w:numPr>
        <w:spacing w:after="80" w:line="276"/>
      </w:pPr>
      <w:r>
        <w:rPr>
          <w:rFonts w:ascii="Calibri" w:cs="Calibri" w:eastAsia="Calibri" w:hAnsi="Calibri"/>
          <w:b/>
          <w:bCs/>
          <w:sz w:val="22"/>
          <w:szCs w:val="22"/>
        </w:rPr>
        <w:t xml:space="preserve">Impôt synthétique : </w:t>
      </w:r>
      <w:r>
        <w:rPr>
          <w:rFonts w:ascii="Calibri" w:cs="Calibri" w:eastAsia="Calibri" w:hAnsi="Calibri"/>
          <w:sz w:val="22"/>
          <w:szCs w:val="22"/>
        </w:rPr>
        <w:t xml:space="preserve">impôt unique libératoire de l’impôt sur les revenus et de la TVA, calculé à 5 % du chiffre d’affaires (avec une base ramenée à 70 % selon certaines sources). Minimum de perception : 16 000 Ar ou 150 000 Ar selon l’activité.</w:t>
      </w:r>
    </w:p>
    <w:p>
      <w:pPr>
        <w:pStyle w:val="ListParagraph"/>
        <w:numPr>
          <w:ilvl w:val="0"/>
          <w:numId w:val="2"/>
        </w:numPr>
        <w:spacing w:after="80" w:line="276"/>
      </w:pPr>
      <w:r>
        <w:rPr>
          <w:rFonts w:ascii="Calibri" w:cs="Calibri" w:eastAsia="Calibri" w:hAnsi="Calibri"/>
          <w:b/>
          <w:bCs/>
          <w:sz w:val="22"/>
          <w:szCs w:val="22"/>
        </w:rPr>
        <w:t xml:space="preserve">Seuil : </w:t>
      </w:r>
      <w:r>
        <w:rPr>
          <w:rFonts w:ascii="Calibri" w:cs="Calibri" w:eastAsia="Calibri" w:hAnsi="Calibri"/>
          <w:sz w:val="22"/>
          <w:szCs w:val="22"/>
        </w:rPr>
        <w:t xml:space="preserve">chiffre d’affaires inférieur à 400 000 000 Ar d’après PwC (revue de novembre 2025) et des sources citant la loi de finances 2026. Des sources plus anciennes parlent de 200 000 000 Ar : le guide initial (100 000 000 Ar) est dépassé.</w:t>
      </w:r>
    </w:p>
    <w:p>
      <w:pPr>
        <w:pStyle w:val="ListParagraph"/>
        <w:numPr>
          <w:ilvl w:val="0"/>
          <w:numId w:val="2"/>
        </w:numPr>
        <w:spacing w:after="80" w:line="276"/>
      </w:pPr>
      <w:r>
        <w:rPr>
          <w:rFonts w:ascii="Calibri" w:cs="Calibri" w:eastAsia="Calibri" w:hAnsi="Calibri"/>
          <w:b/>
          <w:bCs/>
          <w:sz w:val="22"/>
          <w:szCs w:val="22"/>
        </w:rPr>
        <w:t xml:space="preserve">Loi de finances 2026 : </w:t>
      </w:r>
      <w:r>
        <w:rPr>
          <w:rFonts w:ascii="Calibri" w:cs="Calibri" w:eastAsia="Calibri" w:hAnsi="Calibri"/>
          <w:sz w:val="22"/>
          <w:szCs w:val="22"/>
        </w:rPr>
        <w:t xml:space="preserve">possibilité, pour certains contribuables dont le chiffre d’affaires se situe entre 200 et 400 millions d’ariary, d’opter pour l’impôt sur le revenu sans assujettissement à la TVA ; fin de l’exonération des dividendes perçus par les personnes physiques à partir de l’exercice 2026.</w:t>
      </w:r>
    </w:p>
    <w:p>
      <w:pPr>
        <w:pStyle w:val="ListParagraph"/>
        <w:numPr>
          <w:ilvl w:val="0"/>
          <w:numId w:val="2"/>
        </w:numPr>
        <w:spacing w:after="80" w:line="276"/>
      </w:pPr>
      <w:r>
        <w:rPr>
          <w:rFonts w:ascii="Calibri" w:cs="Calibri" w:eastAsia="Calibri" w:hAnsi="Calibri"/>
          <w:b/>
          <w:bCs/>
          <w:sz w:val="22"/>
          <w:szCs w:val="22"/>
        </w:rPr>
        <w:t xml:space="preserve">Acomptes provisionnels IR (100 000 / 320 000 Ar) : </w:t>
      </w:r>
      <w:r>
        <w:rPr>
          <w:rFonts w:ascii="Calibri" w:cs="Calibri" w:eastAsia="Calibri" w:hAnsi="Calibri"/>
          <w:sz w:val="22"/>
          <w:szCs w:val="22"/>
        </w:rPr>
        <w:t xml:space="preserve">non retrouvés dans mes sources, à vérifier avec le Code général des impôts.</w:t>
      </w:r>
    </w:p>
    <w:p>
      <w:pPr>
        <w:pStyle w:val="Heading1"/>
        <w:spacing w:after="140" w:before="320"/>
      </w:pPr>
      <w:r>
        <w:rPr>
          <w:rFonts w:ascii="Calibri" w:cs="Calibri" w:eastAsia="Calibri" w:hAnsi="Calibri"/>
          <w:b/>
          <w:bCs/>
          <w:color w:val="1F3864"/>
          <w:sz w:val="30"/>
          <w:szCs w:val="30"/>
        </w:rPr>
        <w:t xml:space="preserve">6. Tableau de vérification du guide initial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838"/>
        <w:gridCol w:w="18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Affirmation du guide</w:t>
            </w:r>
          </w:p>
        </w:tc>
        <w:tc>
          <w:tcPr>
            <w:tcW w:type="dxa" w:w="4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Constat des recherches</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Statut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Statuts selon le droit OHADA</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Madagascar n’est pas membre ; loi 2003-036 inspirée de l’acte uniforme de 1998.</w:t>
            </w:r>
          </w:p>
        </w:tc>
        <w:tc>
          <w:tcPr>
            <w:tcW w:type="dxa" w:w="1800"/>
            <w:tcBorders>
              <w:top w:val="single" w:color="BFBFBF" w:sz="4"/>
              <w:left w:val="single" w:color="BFBFBF" w:sz="4"/>
              <w:bottom w:val="single" w:color="BFBFBF" w:sz="4"/>
              <w:right w:val="single" w:color="BFBFBF" w:sz="4"/>
            </w:tcBorders>
            <w:shd w:fill="F8D7D7" w:color="auto" w:val="clear"/>
            <w:tcMar>
              <w:top w:type="dxa" w:w="70"/>
              <w:left w:type="dxa" w:w="110"/>
              <w:bottom w:type="dxa" w:w="70"/>
              <w:right w:type="dxa" w:w="110"/>
            </w:tcMar>
          </w:tcPr>
          <w:p>
            <w:r>
              <w:rPr>
                <w:rFonts w:ascii="Calibri" w:cs="Calibri" w:eastAsia="Calibri" w:hAnsi="Calibri"/>
                <w:b w:val="false"/>
                <w:bCs w:val="false"/>
                <w:sz w:val="20"/>
                <w:szCs w:val="20"/>
              </w:rPr>
              <w:t xml:space="preserve">À corriger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SARL : pas de capital minimum</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Suppression par la loi 2008-032.</w:t>
            </w:r>
          </w:p>
        </w:tc>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r>
              <w:rPr>
                <w:rFonts w:ascii="Calibri" w:cs="Calibri" w:eastAsia="Calibri" w:hAnsi="Calibri"/>
                <w:b w:val="false"/>
                <w:bCs w:val="false"/>
                <w:sz w:val="20"/>
                <w:szCs w:val="20"/>
              </w:rPr>
              <w:t xml:space="preserve">Confirmé</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 : 10 000 000 Ar, un quart libéré</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10 M donné par la plupart des sources, 20 M par une ; quart cité par une seule.</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Calibri" w:cs="Calibri" w:eastAsia="Calibri" w:hAnsi="Calibri"/>
                <w:b w:val="false"/>
                <w:bCs w:val="false"/>
                <w:sz w:val="20"/>
                <w:szCs w:val="20"/>
              </w:rPr>
              <w:t xml:space="preserve">À confirmer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Délai de création : 2 à 4 jours ouvrés après dépôt du dossier complet</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EDBM : moyenne de 1,8 jour (2024) ; 3 jours à Antananarivo et Tolagnaro (2025) ; 3 à 5 jours en procédure express selon une autre source.</w:t>
            </w:r>
          </w:p>
        </w:tc>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r>
              <w:rPr>
                <w:rFonts w:ascii="Calibri" w:cs="Calibri" w:eastAsia="Calibri" w:hAnsi="Calibri"/>
                <w:b w:val="false"/>
                <w:bCs w:val="false"/>
                <w:sz w:val="20"/>
                <w:szCs w:val="20"/>
              </w:rPr>
              <w:t xml:space="preserve">Cohérent, à nuancer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Délai total de création : 10 à 15 jours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Aucune source ne chiffre la durée globale, préparation du dossier comprise. À présenter comme estimation.</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Calibri" w:cs="Calibri" w:eastAsia="Calibri" w:hAnsi="Calibri"/>
                <w:b w:val="false"/>
                <w:bCs w:val="false"/>
                <w:sz w:val="20"/>
                <w:szCs w:val="20"/>
              </w:rPr>
              <w:t xml:space="preserve">Estimation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Horaires du guichet, fermeture fin de mois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Aucune source.</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Calibri" w:cs="Calibri" w:eastAsia="Calibri" w:hAnsi="Calibri"/>
                <w:b w:val="false"/>
                <w:bCs w:val="false"/>
                <w:sz w:val="20"/>
                <w:szCs w:val="20"/>
              </w:rPr>
              <w:t xml:space="preserve">Non vérifié</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Tableau de frais détaillé</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Aucune source officielle ; seulement des fourchettes de sites privés.</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Calibri" w:cs="Calibri" w:eastAsia="Calibri" w:hAnsi="Calibri"/>
                <w:b w:val="false"/>
                <w:bCs w:val="false"/>
                <w:sz w:val="20"/>
                <w:szCs w:val="20"/>
              </w:rPr>
              <w:t xml:space="preserve">Non vérifié</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Paiement en espèces</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Une source indique un chèque visé.</w:t>
            </w:r>
          </w:p>
        </w:tc>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Calibri" w:cs="Calibri" w:eastAsia="Calibri" w:hAnsi="Calibri"/>
                <w:b w:val="false"/>
                <w:bCs w:val="false"/>
                <w:sz w:val="20"/>
                <w:szCs w:val="20"/>
              </w:rPr>
              <w:t xml:space="preserve">À confirmer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Impôt synthétique si CA &lt; 100 M Ar</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Seuil actuel : 400 M Ar.</w:t>
            </w:r>
          </w:p>
        </w:tc>
        <w:tc>
          <w:tcPr>
            <w:tcW w:type="dxa" w:w="1800"/>
            <w:tcBorders>
              <w:top w:val="single" w:color="BFBFBF" w:sz="4"/>
              <w:left w:val="single" w:color="BFBFBF" w:sz="4"/>
              <w:bottom w:val="single" w:color="BFBFBF" w:sz="4"/>
              <w:right w:val="single" w:color="BFBFBF" w:sz="4"/>
            </w:tcBorders>
            <w:shd w:fill="F8D7D7" w:color="auto" w:val="clear"/>
            <w:tcMar>
              <w:top w:type="dxa" w:w="70"/>
              <w:left w:type="dxa" w:w="110"/>
              <w:bottom w:type="dxa" w:w="70"/>
              <w:right w:type="dxa" w:w="110"/>
            </w:tcMar>
          </w:tcPr>
          <w:p>
            <w:r>
              <w:rPr>
                <w:rFonts w:ascii="Calibri" w:cs="Calibri" w:eastAsia="Calibri" w:hAnsi="Calibri"/>
                <w:b w:val="false"/>
                <w:bCs w:val="false"/>
                <w:sz w:val="20"/>
                <w:szCs w:val="20"/>
              </w:rPr>
              <w:t xml:space="preserve">À corriger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Minimum de perception 16 000 à 150 000 Ar</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Confirmé par PwC et l’OECFM.</w:t>
            </w:r>
          </w:p>
        </w:tc>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r>
              <w:rPr>
                <w:rFonts w:ascii="Calibri" w:cs="Calibri" w:eastAsia="Calibri" w:hAnsi="Calibri"/>
                <w:b w:val="false"/>
                <w:bCs w:val="false"/>
                <w:sz w:val="20"/>
                <w:szCs w:val="20"/>
              </w:rPr>
              <w:t xml:space="preserve">Confirmé</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NIF indispensable à la facturation</w:t>
            </w:r>
          </w:p>
        </w:tc>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NIF gratuit, délivré par l’EDBM.</w:t>
            </w:r>
          </w:p>
        </w:tc>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r>
              <w:rPr>
                <w:rFonts w:ascii="Calibri" w:cs="Calibri" w:eastAsia="Calibri" w:hAnsi="Calibri"/>
                <w:b w:val="false"/>
                <w:bCs w:val="false"/>
                <w:sz w:val="20"/>
                <w:szCs w:val="20"/>
              </w:rPr>
              <w:t xml:space="preserve">Cohérent</w:t>
            </w:r>
          </w:p>
        </w:tc>
      </w:tr>
    </w:tbl>
    <w:p>
      <w:pPr>
        <w:pStyle w:val="Heading1"/>
        <w:spacing w:after="140" w:before="320"/>
      </w:pPr>
      <w:r>
        <w:rPr>
          <w:rFonts w:ascii="Calibri" w:cs="Calibri" w:eastAsia="Calibri" w:hAnsi="Calibri"/>
          <w:b/>
          <w:bCs/>
          <w:color w:val="1F3864"/>
          <w:sz w:val="30"/>
          <w:szCs w:val="30"/>
        </w:rPr>
        <w:t xml:space="preserve">7. Limites de cette recherche</w:t>
      </w:r>
    </w:p>
    <w:p>
      <w:pPr>
        <w:pStyle w:val="ListParagraph"/>
        <w:numPr>
          <w:ilvl w:val="0"/>
          <w:numId w:val="2"/>
        </w:numPr>
        <w:spacing w:after="80" w:line="276"/>
      </w:pPr>
      <w:r>
        <w:rPr>
          <w:rFonts w:ascii="Calibri" w:cs="Calibri" w:eastAsia="Calibri" w:hAnsi="Calibri"/>
          <w:sz w:val="22"/>
          <w:szCs w:val="22"/>
        </w:rPr>
        <w:t xml:space="preserve">Je n’ai pas pu consulter directement le site de l’EDBM ni le simulateur de frais d’ORINASA ; les informations sur les frais et les délais viennent d’articles de presse et de sites de conseil.</w:t>
      </w:r>
    </w:p>
    <w:p>
      <w:pPr>
        <w:pStyle w:val="ListParagraph"/>
        <w:numPr>
          <w:ilvl w:val="0"/>
          <w:numId w:val="2"/>
        </w:numPr>
        <w:spacing w:after="80" w:line="276"/>
      </w:pPr>
      <w:r>
        <w:rPr>
          <w:rFonts w:ascii="Calibri" w:cs="Calibri" w:eastAsia="Calibri" w:hAnsi="Calibri"/>
          <w:sz w:val="22"/>
          <w:szCs w:val="22"/>
        </w:rPr>
        <w:t xml:space="preserve">Le texte intégral de la loi 2003-036 n’a été lu qu’en extraits : les points marqués « à confirmer » (nombre d’associés, capital et libération de la SA) demandent une lecture directe des articles.</w:t>
      </w:r>
    </w:p>
    <w:p>
      <w:pPr>
        <w:pStyle w:val="ListParagraph"/>
        <w:numPr>
          <w:ilvl w:val="0"/>
          <w:numId w:val="2"/>
        </w:numPr>
        <w:spacing w:after="80" w:line="276"/>
      </w:pPr>
      <w:r>
        <w:rPr>
          <w:rFonts w:ascii="Calibri" w:cs="Calibri" w:eastAsia="Calibri" w:hAnsi="Calibri"/>
          <w:sz w:val="22"/>
          <w:szCs w:val="22"/>
        </w:rPr>
        <w:t xml:space="preserve">Les montants fiscaux évoluent à chaque loi de finances : à présenter avec leur date.</w:t>
      </w:r>
    </w:p>
    <w:p>
      <w:pPr>
        <w:pStyle w:val="Heading1"/>
        <w:spacing w:after="140" w:before="320"/>
      </w:pPr>
      <w:r>
        <w:rPr>
          <w:rFonts w:ascii="Calibri" w:cs="Calibri" w:eastAsia="Calibri" w:hAnsi="Calibri"/>
          <w:b/>
          <w:bCs/>
          <w:color w:val="1F3864"/>
          <w:sz w:val="30"/>
          <w:szCs w:val="30"/>
        </w:rPr>
        <w:t xml:space="preserve">8. Sources consultées</w:t>
      </w:r>
    </w:p>
    <w:p>
      <w:pPr>
        <w:pStyle w:val="ListParagraph"/>
        <w:numPr>
          <w:ilvl w:val="0"/>
          <w:numId w:val="2"/>
        </w:numPr>
        <w:spacing w:after="80" w:line="276"/>
      </w:pPr>
      <w:r>
        <w:rPr>
          <w:rFonts w:ascii="Calibri" w:cs="Calibri" w:eastAsia="Calibri" w:hAnsi="Calibri"/>
          <w:sz w:val="22"/>
          <w:szCs w:val="22"/>
        </w:rPr>
        <w:t xml:space="preserve">Loi n° 2003-036 sur les sociétés commerciales : assemblee-nationale.mg (PDF)</w:t>
      </w:r>
    </w:p>
    <w:p>
      <w:pPr>
        <w:pStyle w:val="ListParagraph"/>
        <w:numPr>
          <w:ilvl w:val="0"/>
          <w:numId w:val="2"/>
        </w:numPr>
        <w:spacing w:after="80" w:line="276"/>
      </w:pPr>
      <w:r>
        <w:rPr>
          <w:rFonts w:ascii="Calibri" w:cs="Calibri" w:eastAsia="Calibri" w:hAnsi="Calibri"/>
          <w:sz w:val="22"/>
          <w:szCs w:val="22"/>
        </w:rPr>
        <w:t xml:space="preserve">Loi n° 2008-032 modifiant la loi n° 2003-036 : assemblee-nationale.mg (PDF)</w:t>
      </w:r>
    </w:p>
    <w:p>
      <w:pPr>
        <w:pStyle w:val="ListParagraph"/>
        <w:numPr>
          <w:ilvl w:val="0"/>
          <w:numId w:val="2"/>
        </w:numPr>
        <w:spacing w:after="80" w:line="276"/>
      </w:pPr>
      <w:r>
        <w:rPr>
          <w:rFonts w:ascii="Calibri" w:cs="Calibri" w:eastAsia="Calibri" w:hAnsi="Calibri"/>
          <w:sz w:val="22"/>
          <w:szCs w:val="22"/>
        </w:rPr>
        <w:t xml:space="preserve">L’Express de Madagascar, « Le Dialogue Public-Privé vise à améliorer le climat des affaires », octobre 2024 : lexpress.mg</w:t>
      </w:r>
    </w:p>
    <w:p>
      <w:pPr>
        <w:pStyle w:val="ListParagraph"/>
        <w:numPr>
          <w:ilvl w:val="0"/>
          <w:numId w:val="2"/>
        </w:numPr>
        <w:spacing w:after="80" w:line="276"/>
      </w:pPr>
      <w:r>
        <w:rPr>
          <w:rFonts w:ascii="Calibri" w:cs="Calibri" w:eastAsia="Calibri" w:hAnsi="Calibri"/>
          <w:sz w:val="22"/>
          <w:szCs w:val="22"/>
        </w:rPr>
        <w:t xml:space="preserve">L’Express de Madagascar, entretien avec le responsable de l’antenne EDBM de Toliara, novembre 2025 : lexpress.mg</w:t>
      </w:r>
    </w:p>
    <w:p>
      <w:pPr>
        <w:pStyle w:val="ListParagraph"/>
        <w:numPr>
          <w:ilvl w:val="0"/>
          <w:numId w:val="2"/>
        </w:numPr>
        <w:spacing w:after="80" w:line="276"/>
      </w:pPr>
      <w:r>
        <w:rPr>
          <w:rFonts w:ascii="Calibri" w:cs="Calibri" w:eastAsia="Calibri" w:hAnsi="Calibri"/>
          <w:sz w:val="22"/>
          <w:szCs w:val="22"/>
        </w:rPr>
        <w:t xml:space="preserve">PwC Tax Summaries, Madagascar, impôts sur le revenu des personnes physiques (revue du 18 novembre 2025) : taxsummaries.pwc.com</w:t>
      </w:r>
    </w:p>
    <w:p>
      <w:pPr>
        <w:pStyle w:val="ListParagraph"/>
        <w:numPr>
          <w:ilvl w:val="0"/>
          <w:numId w:val="2"/>
        </w:numPr>
        <w:spacing w:after="80" w:line="276"/>
      </w:pPr>
      <w:r>
        <w:rPr>
          <w:rFonts w:ascii="Calibri" w:cs="Calibri" w:eastAsia="Calibri" w:hAnsi="Calibri"/>
          <w:sz w:val="22"/>
          <w:szCs w:val="22"/>
        </w:rPr>
        <w:t xml:space="preserve">AllAfrica, « Loi de finances 2026 : multiplication des séances d’information », février 2026 : fr.allafrica.com</w:t>
      </w:r>
    </w:p>
    <w:p>
      <w:pPr>
        <w:pStyle w:val="ListParagraph"/>
        <w:numPr>
          <w:ilvl w:val="0"/>
          <w:numId w:val="2"/>
        </w:numPr>
        <w:spacing w:after="80" w:line="276"/>
      </w:pPr>
      <w:r>
        <w:rPr>
          <w:rFonts w:ascii="Calibri" w:cs="Calibri" w:eastAsia="Calibri" w:hAnsi="Calibri"/>
          <w:sz w:val="22"/>
          <w:szCs w:val="22"/>
        </w:rPr>
        <w:t xml:space="preserve">Madagascar Services, « Changes introduced by the 2026 finance act in Madagascar » : madagascar-services.com</w:t>
      </w:r>
    </w:p>
    <w:p>
      <w:pPr>
        <w:pStyle w:val="ListParagraph"/>
        <w:numPr>
          <w:ilvl w:val="0"/>
          <w:numId w:val="2"/>
        </w:numPr>
        <w:spacing w:after="80" w:line="276"/>
      </w:pPr>
      <w:r>
        <w:rPr>
          <w:rFonts w:ascii="Calibri" w:cs="Calibri" w:eastAsia="Calibri" w:hAnsi="Calibri"/>
          <w:sz w:val="22"/>
          <w:szCs w:val="22"/>
        </w:rPr>
        <w:t xml:space="preserve">Africarrieres, « Guide de création d’entreprise à Madagascar » : africarrieres.com (source secondaire)</w:t>
      </w:r>
    </w:p>
    <w:p>
      <w:pPr>
        <w:pStyle w:val="ListParagraph"/>
        <w:numPr>
          <w:ilvl w:val="0"/>
          <w:numId w:val="2"/>
        </w:numPr>
        <w:spacing w:after="80" w:line="276"/>
      </w:pPr>
      <w:r>
        <w:rPr>
          <w:rFonts w:ascii="Calibri" w:cs="Calibri" w:eastAsia="Calibri" w:hAnsi="Calibri"/>
          <w:sz w:val="22"/>
          <w:szCs w:val="22"/>
        </w:rPr>
        <w:t xml:space="preserve">Expanship, « Incorporation requirements in Madagascar » : expanship.com (source secondaire, contredite sur l’OHADA)</w:t>
      </w:r>
    </w:p>
    <w:p>
      <w:pPr>
        <w:pStyle w:val="ListParagraph"/>
        <w:numPr>
          <w:ilvl w:val="0"/>
          <w:numId w:val="2"/>
        </w:numPr>
        <w:spacing w:after="80" w:line="276"/>
      </w:pPr>
      <w:r>
        <w:rPr>
          <w:rFonts w:ascii="Calibri" w:cs="Calibri" w:eastAsia="Calibri" w:hAnsi="Calibri"/>
          <w:sz w:val="22"/>
          <w:szCs w:val="22"/>
        </w:rPr>
        <w:t xml:space="preserve">OECFM / Groupe Crédit Agricole, fiches « Faire des affaires à Madagascar » (source secondaire)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Création d’une société à Madagascar</dc:title>
  <dc:creator>Olivier</dc:creator>
  <cp:lastModifiedBy>Un-named</cp:lastModifiedBy>
  <cp:revision>1</cp:revision>
  <dcterms:created xsi:type="dcterms:W3CDTF">2026-10-14T11:52:01.725Z</dcterms:created>
  <dcterms:modified xsi:type="dcterms:W3CDTF">2026-10-14T11:52:01.725Z</dcterms:modified>
</cp:coreProperties>
</file>

<file path=docProps/custom.xml><?xml version="1.0" encoding="utf-8"?>
<Properties xmlns="http://schemas.openxmlformats.org/officeDocument/2006/custom-properties" xmlns:vt="http://schemas.openxmlformats.org/officeDocument/2006/docPropsVTypes"/>
</file>