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Répartition détaillée des tâches : Tsiory et Oli</w:t>
      </w:r>
    </w:p>
    <w:p>
      <w:pPr>
        <w:spacing w:after="200"/>
        <w:jc w:val="center"/>
      </w:pPr>
      <w:r>
        <w:rPr>
          <w:rFonts w:ascii="Arial" w:cs="Arial" w:eastAsia="Arial" w:hAnsi="Arial"/>
          <w:color w:val="595959"/>
          <w:sz w:val="22"/>
          <w:szCs w:val="22"/>
        </w:rPr>
        <w:t xml:space="preserve">Projet Legaltech : création et vie de la société | Version 6 du plan</w:t>
      </w:r>
    </w:p>
    <w:p>
      <w:pPr>
        <w:shd w:fill="FFF2CC" w:color="auto" w:val="clear"/>
        <w:spacing w:after="100"/>
      </w:pPr>
      <w:r>
        <w:rPr>
          <w:rFonts w:ascii="Arial" w:cs="Arial" w:eastAsia="Arial" w:hAnsi="Arial"/>
          <w:sz w:val="22"/>
          <w:szCs w:val="22"/>
        </w:rPr>
        <w:t xml:space="preserve">Ce document suit le workflow fusionné (phases A et B) et y ajoute les étapes qui manquaient. L'avancement de Oli est à confirmer par lui : il n'est pas connu ici.</w:t>
      </w:r>
    </w:p>
    <w:p>
      <w:pPr>
        <w:pStyle w:val="Heading1"/>
      </w:pPr>
      <w:r>
        <w:rPr>
          <w:rFonts w:ascii="Arial" w:cs="Arial" w:eastAsia="Arial" w:hAnsi="Arial"/>
        </w:rPr>
        <w:t xml:space="preserve">1. Principes de partage</w:t>
      </w:r>
    </w:p>
    <w:p>
      <w:pPr>
        <w:pStyle w:val="ListParagraph"/>
        <w:numPr>
          <w:ilvl w:val="0"/>
          <w:numId w:val="2"/>
        </w:numPr>
        <w:spacing w:after="60"/>
      </w:pPr>
      <w:r>
        <w:rPr>
          <w:rFonts w:ascii="Arial" w:cs="Arial" w:eastAsia="Arial" w:hAnsi="Arial"/>
          <w:b/>
          <w:bCs/>
          <w:sz w:val="22"/>
          <w:szCs w:val="22"/>
        </w:rPr>
        <w:t xml:space="preserve">Chacun possède un bloc complet : </w:t>
      </w:r>
      <w:r>
        <w:rPr>
          <w:rFonts w:ascii="Arial" w:cs="Arial" w:eastAsia="Arial" w:hAnsi="Arial"/>
          <w:sz w:val="22"/>
          <w:szCs w:val="22"/>
        </w:rPr>
        <w:t xml:space="preserve">logique, données et écrans. Les deux blocs ne se touchent que par des données (contrat d'interface, section 7).</w:t>
      </w:r>
    </w:p>
    <w:p>
      <w:pPr>
        <w:pStyle w:val="ListParagraph"/>
        <w:numPr>
          <w:ilvl w:val="0"/>
          <w:numId w:val="2"/>
        </w:numPr>
        <w:spacing w:after="60"/>
      </w:pPr>
      <w:r>
        <w:rPr>
          <w:rFonts w:ascii="Arial" w:cs="Arial" w:eastAsia="Arial" w:hAnsi="Arial"/>
          <w:b/>
          <w:bCs/>
          <w:sz w:val="22"/>
          <w:szCs w:val="22"/>
        </w:rPr>
        <w:t xml:space="preserve">Aucune règle juridique en dur : </w:t>
      </w:r>
      <w:r>
        <w:rPr>
          <w:rFonts w:ascii="Arial" w:cs="Arial" w:eastAsia="Arial" w:hAnsi="Arial"/>
          <w:sz w:val="22"/>
          <w:szCs w:val="22"/>
        </w:rPr>
        <w:t xml:space="preserve">délais, quorums, majorités et documents sont lus en base (regle_delai, regle_quorum, document_requis). Si une règle manque, le logiciel le signale au lieu de l'inventer.</w:t>
      </w:r>
    </w:p>
    <w:p>
      <w:pPr>
        <w:pStyle w:val="ListParagraph"/>
        <w:numPr>
          <w:ilvl w:val="0"/>
          <w:numId w:val="2"/>
        </w:numPr>
        <w:spacing w:after="60"/>
      </w:pPr>
      <w:r>
        <w:rPr>
          <w:rFonts w:ascii="Arial" w:cs="Arial" w:eastAsia="Arial" w:hAnsi="Arial"/>
          <w:b/>
          <w:bCs/>
          <w:sz w:val="22"/>
          <w:szCs w:val="22"/>
        </w:rPr>
        <w:t xml:space="preserve">Git : </w:t>
      </w:r>
      <w:r>
        <w:rPr>
          <w:rFonts w:ascii="Arial" w:cs="Arial" w:eastAsia="Arial" w:hAnsi="Arial"/>
          <w:sz w:val="22"/>
          <w:szCs w:val="22"/>
        </w:rPr>
        <w:t xml:space="preserve">une branche par personne créée depuis dev (feature-tsiory, feature-oli), pull request vers dev, jamais de push direct sur main. Le fichier .env n'est jamais commité.</w:t>
      </w:r>
    </w:p>
    <w:p>
      <w:pPr>
        <w:pStyle w:val="ListParagraph"/>
        <w:numPr>
          <w:ilvl w:val="0"/>
          <w:numId w:val="2"/>
        </w:numPr>
        <w:spacing w:after="60"/>
      </w:pPr>
      <w:r>
        <w:rPr>
          <w:rFonts w:ascii="Arial" w:cs="Arial" w:eastAsia="Arial" w:hAnsi="Arial"/>
          <w:b/>
          <w:bCs/>
          <w:sz w:val="22"/>
          <w:szCs w:val="22"/>
        </w:rPr>
        <w:t xml:space="preserve">Base de données : </w:t>
      </w:r>
      <w:r>
        <w:rPr>
          <w:rFonts w:ascii="Arial" w:cs="Arial" w:eastAsia="Arial" w:hAnsi="Arial"/>
          <w:sz w:val="22"/>
          <w:szCs w:val="22"/>
        </w:rPr>
        <w:t xml:space="preserve">chacun l'obtient par php spark migrate puis php spark db:seed DatabaseSeeder. Toute nouvelle règle passe par un seeder ou une migration.</w:t>
      </w:r>
    </w:p>
    <w:p>
      <w:pPr>
        <w:pStyle w:val="ListParagraph"/>
        <w:numPr>
          <w:ilvl w:val="0"/>
          <w:numId w:val="2"/>
        </w:numPr>
        <w:spacing w:after="60"/>
      </w:pPr>
      <w:r>
        <w:rPr>
          <w:rFonts w:ascii="Arial" w:cs="Arial" w:eastAsia="Arial" w:hAnsi="Arial"/>
          <w:b/>
          <w:bCs/>
          <w:sz w:val="22"/>
          <w:szCs w:val="22"/>
        </w:rPr>
        <w:t xml:space="preserve">Livraison : </w:t>
      </w:r>
      <w:r>
        <w:rPr>
          <w:rFonts w:ascii="Arial" w:cs="Arial" w:eastAsia="Arial" w:hAnsi="Arial"/>
          <w:sz w:val="22"/>
          <w:szCs w:val="22"/>
        </w:rPr>
        <w:t xml:space="preserve">les documents générés sont des PDF.</w:t>
      </w:r>
    </w:p>
    <w:p>
      <w:pPr>
        <w:pStyle w:val="Heading1"/>
      </w:pPr>
      <w:r>
        <w:rPr>
          <w:rFonts w:ascii="Arial" w:cs="Arial" w:eastAsia="Arial" w:hAnsi="Arial"/>
        </w:rPr>
        <w:t xml:space="preserve">2. Où on en 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Bloc</w:t>
            </w:r>
          </w:p>
        </w:tc>
        <w:tc>
          <w:tcPr>
            <w:tcW w:type="dxa" w:w="72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État</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Lot 1 : base de données</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Terminé et testé : 22 tables, 4 migrations, seeders, DemoSeeder.</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Lot 2 : calculs (Tsiory)</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Fait et testé : date de convocation en jours francs, quorum, adoption, procurations, ReunionService, AssembleeService, commandes de démonstration. Reste : voix prépondérante du CA, justification juridique, checklist des pièces, règles « à chercher ».</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Générateurs PDF et écrans (Oli)</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À démarrer ou à confirmer par Oli.</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Branches Git</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feature-tsiory poussée, dev créée à partir de main. À faire : pull request vers dev.</w:t>
            </w:r>
          </w:p>
        </w:tc>
      </w:tr>
    </w:tbl>
    <w:p>
      <w:pPr>
        <w:spacing w:after="80"/>
      </w:pPr>
    </w:p>
    <w:p>
      <w:pPr>
        <w:pStyle w:val="Heading1"/>
      </w:pPr>
      <w:r>
        <w:rPr>
          <w:rFonts w:ascii="Arial" w:cs="Arial" w:eastAsia="Arial" w:hAnsi="Arial"/>
        </w:rPr>
        <w:t xml:space="preserve">3. Le workflow et son responsable</w:t>
      </w:r>
    </w:p>
    <w:p>
      <w:pPr>
        <w:spacing w:after="100"/>
      </w:pPr>
      <w:r>
        <w:rPr>
          <w:rFonts w:ascii="Arial" w:cs="Arial" w:eastAsia="Arial" w:hAnsi="Arial"/>
          <w:sz w:val="22"/>
          <w:szCs w:val="22"/>
        </w:rPr>
        <w:t xml:space="preserve">Les étapes marquées « nouveau » n'étaient pas dans le workflow de départ : elles sont nécessaires (voir section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400"/>
        <w:gridCol w:w="2400"/>
        <w:gridCol w:w="1438"/>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Étape</w:t>
            </w:r>
          </w:p>
        </w:tc>
        <w:tc>
          <w:tcPr>
            <w:tcW w:type="dxa" w:w="2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Description</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Logique et données</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Écran ou PDF</w:t>
            </w:r>
          </w:p>
        </w:tc>
        <w:tc>
          <w:tcPr>
            <w:tcW w:type="dxa" w:w="14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État</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A0</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Nom de la société (nouveau)</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contrôle du format</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Oli : champ du formulaire, rappel de vérifier la disponibilité à l'EDBM</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À faire</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Choix du type, puis formulaire (associés, capital, siège)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validations (A2)</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Oli : questionnaire et formulaire, enregistrement en base</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À faire</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A2</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Paramètres du type lus en base ; contrôles de validité</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fait pour la lecture, contrôles à écrire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Oli : affichage des messages</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En cours</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A3</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Checklist des pièces et étapes EDBM, alertes de pièces périmées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service de checklist</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Oli : affichage</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À faire</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A4</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Statuts en PDF selon le type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objet « societe » (JSON)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Oli : gabarits PDF</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À faire</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Documents constitutifs : PV d'AG constitutive, souscription, nomination des gérants (nouveau)</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l'AGC réutilise la planification et le jour J</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Oli : gabarits PDF</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À faire</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A6</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Suivi de dossier : brouillon, soumis, validé, immatriculé (nouveau)</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changements de statut</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Oli : écran de suivi</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À faire</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Planification d'une réunion, date de convocation en jours francs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fait</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écran</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Logique faite</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B2</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Convocation en PDF</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sorties de planifier()</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Oli : gabarit PDF</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À faire</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B3</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Jour J : présents, procurations, quorum, votes, adoption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fait (voix prépondérante à ajouter)</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écran</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Logique faite</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B4</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Deuxième convocation si le quorum manque (nouveau)</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lien avec la réunion précédente, délai de 6 jours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Oli : même gabarit de convocation</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À faire</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PV en PDF avec les résultats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sorties de versJson()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Oli : gabarits PDF</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À faire</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B6</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Registre des assemblées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table assemblee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écran de consultation</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À faire</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B7</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Justification juridique partout : motif, source, statut (nouveau)</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champs sur chaque décision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Oli : affichage dans convocation et PV</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À faire</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B8</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SARLU : décision de l'associé unique, sans convocation ni quorum (nouveau)</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Tsiory : règle à chercher puis service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Oli : gabarit si le texte l'exige</w:t>
            </w: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À chercher</w:t>
            </w:r>
          </w:p>
        </w:tc>
      </w:tr>
    </w:tbl>
    <w:p>
      <w:pPr>
        <w:spacing w:after="80"/>
      </w:pPr>
    </w:p>
    <w:p>
      <w:pPr>
        <w:pStyle w:val="Heading1"/>
      </w:pPr>
      <w:r>
        <w:rPr>
          <w:rFonts w:ascii="Arial" w:cs="Arial" w:eastAsia="Arial" w:hAnsi="Arial"/>
        </w:rPr>
        <w:t xml:space="preserve">4. Tâches de Tsiory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5438"/>
        <w:gridCol w:w="120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N°</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Tâche</w:t>
            </w:r>
          </w:p>
        </w:tc>
        <w:tc>
          <w:tcPr>
            <w:tcW w:type="dxa" w:w="54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Détail et livrable</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Priorité</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Compléter les sorties de planifier() et versJson()</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Ajouter l'ordre du jour dans planifier(). Ajouter dans versJson() : date de tenue, président de séance, secrétaire, quorum requis (fraction), majorité requise, motif et source de chaque décision. Sans cela, Oli ne peut pas finir la convocation ni le PV.</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 (débloque Oli)</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Objet « societe » en JSON</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Un service qui renvoie la société, ses associés, dirigeants et le mode d'administration au format du contrat d'interface. Entrée du générateur de statuts.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 (débloque Oli)</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Voix prépondérante au CA (article 483)</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Le président de séance vote comme les autres. En cas de partage des voix, sa voix l'emporte, sauf si les statuts l'écartent (paramètre voix_preponderante_president). Abstention ou absence du président : résolution rejetée (déduction). Pas de voix prépondérante en AG. Tests : 4 présents avec égalité, président pour, président contre, président abstenu.</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2</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Justification juridique</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Chaque décision calculée renvoie une phrase de motif, la source (article) et un statut : vérifié, à confirmer ou déduction. Utilise les colonnes source et verifie de la base.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2</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Checklist des pièces</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Lire document_requis selon le type, la catégorie de chaque associé, le mode d'administration et les conditions (mineur, sous-location, activité réglementée). Contrôler la validité des pièces (3 ou 12 mois) par rapport à la date de dépôt prévue.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2</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Contrôles de validité à la création</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 à 12 administrateurs (art. 439) ; au plus un tiers de non-actionnaires (art. 440) ; administrateur général obligatoire si 3 actionnaires ou moins (art. 519) ; SNC : mineurs non émancipés et époux (art. 5 et 6) ; durée maximale 99 ans ; format du nom. Un avertissement (pas un blocage) si le nombre d'administrateurs est pair.</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T7</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Deuxième convocation</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Lier la nouvelle réunion à la précédente (reunion_precedente_id), appliquer le délai de 6 jours et le quorum de deuxième convocation.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T8</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Écrans de la phase B</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Planification d'une réunion, jour J (présents, procurations, votes, résultats), registre des assemblées.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T9</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Suivi de dossier (logique)</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Service qui change le statut du dossier (brouillon, soumis, validé, immatriculé) et enregistre les dates.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4</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T10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Règles à chercher</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Délais et quorums de la SNC, de la SCS, de la SCA, de la SC et de la SARL ; majorité de l'AGC ; SARLU ; capital minimum de la SA. À chaque règle trouvée : une ligne de seeder avec source et statut. Voir la section 8.</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En continu</w:t>
            </w:r>
          </w:p>
        </w:tc>
      </w:tr>
    </w:tbl>
    <w:p>
      <w:pPr>
        <w:spacing w:after="80"/>
      </w:pPr>
    </w:p>
    <w:p>
      <w:pPr>
        <w:pStyle w:val="Heading1"/>
      </w:pPr>
      <w:r>
        <w:rPr>
          <w:rFonts w:ascii="Arial" w:cs="Arial" w:eastAsia="Arial" w:hAnsi="Arial"/>
        </w:rPr>
        <w:t xml:space="preserve">5. Tâches de Oli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5438"/>
        <w:gridCol w:w="120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N°</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Tâche</w:t>
            </w:r>
          </w:p>
        </w:tc>
        <w:tc>
          <w:tcPr>
            <w:tcW w:type="dxa" w:w="54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Détail et livrable</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Priorité</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Moteur PDF et gabarit commun</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Installer Dompdf (Composer), écrire un PdfService (HTML vers PDF), un gabarit commun (en-tête, pied de page, numéros de page, polices) et l'enregistrement dans document_genere. À valider avec Tsiory.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Statuts en PDF</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Un gabarit par type : SARL et SARLU, SA avec administrateur général, SA avec conseil d'administration, SCS et SNC, SC. SCA après la recherche. Mentions obligatoires de l'article 10 de la loi. Données : objet « societe ».</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2</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Convocation en PDF</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À partir de planifier() : qui, où, heure, ordre du jour, date d'envoi, forme d'envoi, source du délai. Gabarits pour l'AG et pour le CA. Mention 1re ou 2e convocation.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2</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Procès-verbaux en PDF</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À partir de versJson() : PV ordinaire, PV d'assemblée constitutive, PV d'AGE, PV de CA. Liste des présents, représentés (avec leur mandataire) et absents, quorum, résolutions, votes, mention de la voix prépondérante, justification juridique.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Écrans de la phase A</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Questionnaire de choix du type, formulaire (société, associés, dirigeants, siège), enregistrement par les Models, affichage de la checklist et des étapes EDBM, téléchargement des PDF.</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Écran de suivi de dossier</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Affichage du statut et des dates fournis par Tsiory.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4</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O7</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Documents constitutifs</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Si le temps le permet : bulletin de souscription, déclaration de souscription, état de souscription, attestation de blocage, procès-verbal de nomination des gérants, déclaration relative aux dirigeants.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4</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O8</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Option : lien avec le contrat de bail</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Le contrat de bail est une pièce du siège social : brancher le générateur du projet précédent.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Option</w:t>
            </w:r>
          </w:p>
        </w:tc>
      </w:tr>
    </w:tbl>
    <w:p>
      <w:pPr>
        <w:spacing w:after="80"/>
      </w:pPr>
    </w:p>
    <w:p>
      <w:pPr>
        <w:pStyle w:val="Heading1"/>
      </w:pPr>
      <w:r>
        <w:rPr>
          <w:rFonts w:ascii="Arial" w:cs="Arial" w:eastAsia="Arial" w:hAnsi="Arial"/>
        </w:rPr>
        <w:t xml:space="preserve">6. Tâches en commun</w:t>
      </w:r>
    </w:p>
    <w:p>
      <w:pPr>
        <w:pStyle w:val="ListParagraph"/>
        <w:numPr>
          <w:ilvl w:val="0"/>
          <w:numId w:val="2"/>
        </w:numPr>
        <w:spacing w:after="60"/>
      </w:pPr>
      <w:r>
        <w:rPr>
          <w:rFonts w:ascii="Arial" w:cs="Arial" w:eastAsia="Arial" w:hAnsi="Arial"/>
          <w:sz w:val="22"/>
          <w:szCs w:val="22"/>
        </w:rPr>
        <w:t xml:space="preserve">Mise en page et navigation communes (menu, pages d'accueil).</w:t>
      </w:r>
    </w:p>
    <w:p>
      <w:pPr>
        <w:pStyle w:val="ListParagraph"/>
        <w:numPr>
          <w:ilvl w:val="0"/>
          <w:numId w:val="2"/>
        </w:numPr>
        <w:spacing w:after="60"/>
      </w:pPr>
      <w:r>
        <w:rPr>
          <w:rFonts w:ascii="Arial" w:cs="Arial" w:eastAsia="Arial" w:hAnsi="Arial"/>
          <w:sz w:val="22"/>
          <w:szCs w:val="22"/>
        </w:rPr>
        <w:t xml:space="preserve">Revue croisée : chacun relit la pull request de l'autre avant fusion dans dev.</w:t>
      </w:r>
    </w:p>
    <w:p>
      <w:pPr>
        <w:pStyle w:val="ListParagraph"/>
        <w:numPr>
          <w:ilvl w:val="0"/>
          <w:numId w:val="2"/>
        </w:numPr>
        <w:spacing w:after="60"/>
      </w:pPr>
      <w:r>
        <w:rPr>
          <w:rFonts w:ascii="Arial" w:cs="Arial" w:eastAsia="Arial" w:hAnsi="Arial"/>
          <w:sz w:val="22"/>
          <w:szCs w:val="22"/>
        </w:rPr>
        <w:t xml:space="preserve">Test de bout en bout avec EXEMPLE SA (SA avec CA), puis avec une SARL : création, statuts, convocation, jour J, PV, registre.</w:t>
      </w:r>
    </w:p>
    <w:p>
      <w:pPr>
        <w:pStyle w:val="ListParagraph"/>
        <w:numPr>
          <w:ilvl w:val="0"/>
          <w:numId w:val="2"/>
        </w:numPr>
        <w:spacing w:after="60"/>
      </w:pPr>
      <w:r>
        <w:rPr>
          <w:rFonts w:ascii="Arial" w:cs="Arial" w:eastAsia="Arial" w:hAnsi="Arial"/>
          <w:sz w:val="22"/>
          <w:szCs w:val="22"/>
        </w:rPr>
        <w:t xml:space="preserve">Relecture juridique de tous les PDF : chaque règle affichée a sa source.</w:t>
      </w:r>
    </w:p>
    <w:p>
      <w:pPr>
        <w:pStyle w:val="ListParagraph"/>
        <w:numPr>
          <w:ilvl w:val="0"/>
          <w:numId w:val="2"/>
        </w:numPr>
        <w:spacing w:after="60"/>
      </w:pPr>
      <w:r>
        <w:rPr>
          <w:rFonts w:ascii="Arial" w:cs="Arial" w:eastAsia="Arial" w:hAnsi="Arial"/>
          <w:sz w:val="22"/>
          <w:szCs w:val="22"/>
        </w:rPr>
        <w:t xml:space="preserve">Exposé sur le droit des sociétés : plan en section 10.</w:t>
      </w:r>
    </w:p>
    <w:p>
      <w:pPr>
        <w:pStyle w:val="Heading1"/>
      </w:pPr>
      <w:r>
        <w:rPr>
          <w:rFonts w:ascii="Arial" w:cs="Arial" w:eastAsia="Arial" w:hAnsi="Arial"/>
        </w:rPr>
        <w:t xml:space="preserve">7. Contrat d'interface : ce que chacun fournit à l'autre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38"/>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Sortie (Tsiory)</w:t>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Champs</w:t>
            </w:r>
          </w:p>
        </w:tc>
        <w:tc>
          <w:tcPr>
            <w:tcW w:type="dxa" w:w="32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Utilisée par Oli pour</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planifier()</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société, type, nature, numéro de convocation, date, heure, lieu, ordre du jour (à ajouter), délai, mode de calcul, date de convocation, forme d'envoi, source, statut vérifié, convoqués, reunion_id</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La convocation en PDF</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versJson()</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participants (nom, statut, par, voix), quorum atteint, résolutions (texte, pour, contre, adoptée) ; à ajouter : date de tenue, président de séance, secrétaire, quorum et majorité requis, motif, source</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Le PV en PDF</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Objet « societe » (à créer)</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type, mode d'administration, dénomination, siège, objet, capital, durée, associés, dirigeants</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Les statuts en PDF</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Checklist (à créer)</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pièces exigées, pièces fournies, pièces périmées, étapes EDBM</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L'écran de la checklist</w:t>
            </w:r>
          </w:p>
        </w:tc>
      </w:tr>
    </w:tbl>
    <w:p>
      <w:pPr>
        <w:spacing w:after="80"/>
      </w:pPr>
    </w:p>
    <w:p>
      <w:pPr>
        <w:spacing w:after="100"/>
      </w:pPr>
      <w:r>
        <w:rPr>
          <w:rFonts w:ascii="Arial" w:cs="Arial" w:eastAsia="Arial" w:hAnsi="Arial"/>
          <w:sz w:val="22"/>
          <w:szCs w:val="22"/>
        </w:rPr>
        <w:t xml:space="preserve">Règle : Oli utilise les valeurs telles quelles et ne recalcule jamais une date, un quorum ou une majorité. Pendant que les sorties manquantes ne sont pas prêtes, il travaille avec des fichiers JSON d'exemple.</w:t>
      </w:r>
    </w:p>
    <w:p>
      <w:pPr>
        <w:pStyle w:val="Heading1"/>
      </w:pPr>
      <w:r>
        <w:rPr>
          <w:rFonts w:ascii="Arial" w:cs="Arial" w:eastAsia="Arial" w:hAnsi="Arial"/>
        </w:rPr>
        <w:t xml:space="preserve">8. Règles juridiques encore à chercher (Tsiory, avec Oli)</w:t>
      </w:r>
    </w:p>
    <w:p>
      <w:pPr>
        <w:pStyle w:val="ListParagraph"/>
        <w:numPr>
          <w:ilvl w:val="0"/>
          <w:numId w:val="2"/>
        </w:numPr>
        <w:spacing w:after="60"/>
      </w:pPr>
      <w:r>
        <w:rPr>
          <w:rFonts w:ascii="Arial" w:cs="Arial" w:eastAsia="Arial" w:hAnsi="Arial"/>
          <w:sz w:val="22"/>
          <w:szCs w:val="22"/>
        </w:rPr>
        <w:t xml:space="preserve">Délais de convocation et quorums : SNC, SCS, SCA, SC, SARL (quorum).</w:t>
      </w:r>
    </w:p>
    <w:p>
      <w:pPr>
        <w:pStyle w:val="ListParagraph"/>
        <w:numPr>
          <w:ilvl w:val="0"/>
          <w:numId w:val="2"/>
        </w:numPr>
        <w:spacing w:after="60"/>
      </w:pPr>
      <w:r>
        <w:rPr>
          <w:rFonts w:ascii="Arial" w:cs="Arial" w:eastAsia="Arial" w:hAnsi="Arial"/>
          <w:sz w:val="22"/>
          <w:szCs w:val="22"/>
        </w:rPr>
        <w:t xml:space="preserve">Majorité de l'AG constitutive de la SA.</w:t>
      </w:r>
    </w:p>
    <w:p>
      <w:pPr>
        <w:pStyle w:val="ListParagraph"/>
        <w:numPr>
          <w:ilvl w:val="0"/>
          <w:numId w:val="2"/>
        </w:numPr>
        <w:spacing w:after="60"/>
      </w:pPr>
      <w:r>
        <w:rPr>
          <w:rFonts w:ascii="Arial" w:cs="Arial" w:eastAsia="Arial" w:hAnsi="Arial"/>
          <w:sz w:val="22"/>
          <w:szCs w:val="22"/>
        </w:rPr>
        <w:t xml:space="preserve">SARLU : décision de l'associé unique.</w:t>
      </w:r>
    </w:p>
    <w:p>
      <w:pPr>
        <w:pStyle w:val="ListParagraph"/>
        <w:numPr>
          <w:ilvl w:val="0"/>
          <w:numId w:val="2"/>
        </w:numPr>
        <w:spacing w:after="60"/>
      </w:pPr>
      <w:r>
        <w:rPr>
          <w:rFonts w:ascii="Arial" w:cs="Arial" w:eastAsia="Arial" w:hAnsi="Arial"/>
          <w:sz w:val="22"/>
          <w:szCs w:val="22"/>
        </w:rPr>
        <w:t xml:space="preserve">Capital minimum de la SA et des autres types, nombre d'associés min et max.</w:t>
      </w:r>
    </w:p>
    <w:p>
      <w:pPr>
        <w:pStyle w:val="ListParagraph"/>
        <w:numPr>
          <w:ilvl w:val="0"/>
          <w:numId w:val="2"/>
        </w:numPr>
        <w:spacing w:after="60"/>
      </w:pPr>
      <w:r>
        <w:rPr>
          <w:rFonts w:ascii="Arial" w:cs="Arial" w:eastAsia="Arial" w:hAnsi="Arial"/>
          <w:sz w:val="22"/>
          <w:szCs w:val="22"/>
        </w:rPr>
        <w:t xml:space="preserve">Les représentés comptent-ils dans le quorum du CA ? (l'article 483 parle de membres présents.)</w:t>
      </w:r>
    </w:p>
    <w:p>
      <w:pPr>
        <w:pStyle w:val="ListParagraph"/>
        <w:numPr>
          <w:ilvl w:val="0"/>
          <w:numId w:val="2"/>
        </w:numPr>
        <w:spacing w:after="60"/>
      </w:pPr>
      <w:r>
        <w:rPr>
          <w:rFonts w:ascii="Arial" w:cs="Arial" w:eastAsia="Arial" w:hAnsi="Arial"/>
          <w:sz w:val="22"/>
          <w:szCs w:val="22"/>
        </w:rPr>
        <w:t xml:space="preserve">Égalité des voix en AG : rien trouvé qui donne une voix prépondérante ; à confirmer.</w:t>
      </w:r>
    </w:p>
    <w:p>
      <w:pPr>
        <w:pStyle w:val="ListParagraph"/>
        <w:numPr>
          <w:ilvl w:val="0"/>
          <w:numId w:val="2"/>
        </w:numPr>
        <w:spacing w:after="60"/>
      </w:pPr>
      <w:r>
        <w:rPr>
          <w:rFonts w:ascii="Arial" w:cs="Arial" w:eastAsia="Arial" w:hAnsi="Arial"/>
          <w:sz w:val="22"/>
          <w:szCs w:val="22"/>
        </w:rPr>
        <w:t xml:space="preserve">Jours calendaires ou jours francs : décision prise (jours francs), à confirmer dans le texte.</w:t>
      </w:r>
    </w:p>
    <w:p>
      <w:pPr>
        <w:pStyle w:val="ListParagraph"/>
        <w:numPr>
          <w:ilvl w:val="0"/>
          <w:numId w:val="2"/>
        </w:numPr>
        <w:spacing w:after="60"/>
      </w:pPr>
      <w:r>
        <w:rPr>
          <w:rFonts w:ascii="Arial" w:cs="Arial" w:eastAsia="Arial" w:hAnsi="Arial"/>
          <w:sz w:val="22"/>
          <w:szCs w:val="22"/>
        </w:rPr>
        <w:t xml:space="preserve">Comparer les articles cités avec le texte officiel de la loi 2003-036 et relire l'article 21 du décret 2004-453 dans sa version modifiée.</w:t>
      </w:r>
    </w:p>
    <w:p>
      <w:pPr>
        <w:pStyle w:val="ListParagraph"/>
        <w:numPr>
          <w:ilvl w:val="0"/>
          <w:numId w:val="2"/>
        </w:numPr>
        <w:spacing w:after="60"/>
      </w:pPr>
      <w:r>
        <w:rPr>
          <w:rFonts w:ascii="Arial" w:cs="Arial" w:eastAsia="Arial" w:hAnsi="Arial"/>
          <w:sz w:val="22"/>
          <w:szCs w:val="22"/>
        </w:rPr>
        <w:t xml:space="preserve">Règles de la société civile : loi 2001-026.</w:t>
      </w:r>
    </w:p>
    <w:p>
      <w:pPr>
        <w:pStyle w:val="Heading1"/>
      </w:pPr>
      <w:r>
        <w:rPr>
          <w:rFonts w:ascii="Arial" w:cs="Arial" w:eastAsia="Arial" w:hAnsi="Arial"/>
        </w:rPr>
        <w:t xml:space="preserve">9. Ce qui manquait au workflow de départ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Manque</w:t>
            </w:r>
          </w:p>
        </w:tc>
        <w:tc>
          <w:tcPr>
            <w:tcW w:type="dxa" w:w="42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Pourquoi</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Pris en charge</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Nom de la société</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Prévu dès le début du projet.</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A0 : Oli (champ), Tsiory (format)</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AG constitutive et documents constitutifs</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Orinasa exige le PV constitutif pour la SA, la SCS et la SNC.</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A5 : Tsiory et Oli</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Suivi de dossier</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Étapes d'Orinasa : brouillon, soumis, validé, immatriculé.</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A6 : Tsiory et Oli</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Contrôles de validité</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Nombre d'administrateurs, SA-AG, époux en SNC, durée de 99 ans.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T6 : Tsiory</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Deuxième convocation</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Si le quorum manque, il faut convoquer à nouveau (6 jours).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B4 : Tsiory et Oli</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Justification juridique</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Chaque règle affichée doit avoir sa source.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B7 : Tsiory, Oli</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Cas SARLU</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Associé unique : pas de convocation ni de quorum.</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B8 : à chercher</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Conseil d'administration</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Réunion à part, avec voix prépondérante.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T3, O3, O4</w:t>
            </w:r>
          </w:p>
        </w:tc>
      </w:tr>
    </w:tbl>
    <w:p>
      <w:pPr>
        <w:spacing w:after="80"/>
      </w:pPr>
    </w:p>
    <w:p>
      <w:pPr>
        <w:pStyle w:val="Heading1"/>
      </w:pPr>
      <w:r>
        <w:rPr>
          <w:rFonts w:ascii="Arial" w:cs="Arial" w:eastAsia="Arial" w:hAnsi="Arial"/>
        </w:rPr>
        <w:t xml:space="preserve">10. Plan d'exposé</w:t>
      </w:r>
    </w:p>
    <w:p>
      <w:pPr>
        <w:pStyle w:val="ListParagraph"/>
        <w:numPr>
          <w:ilvl w:val="0"/>
          <w:numId w:val="2"/>
        </w:numPr>
        <w:spacing w:after="60"/>
      </w:pPr>
      <w:r>
        <w:rPr>
          <w:rFonts w:ascii="Arial" w:cs="Arial" w:eastAsia="Arial" w:hAnsi="Arial"/>
          <w:sz w:val="22"/>
          <w:szCs w:val="22"/>
        </w:rPr>
        <w:t xml:space="preserve">Introduction : pourquoi créer une société, société civile ou commerciale.</w:t>
      </w:r>
    </w:p>
    <w:p>
      <w:pPr>
        <w:pStyle w:val="ListParagraph"/>
        <w:numPr>
          <w:ilvl w:val="0"/>
          <w:numId w:val="2"/>
        </w:numPr>
        <w:spacing w:after="60"/>
      </w:pPr>
      <w:r>
        <w:rPr>
          <w:rFonts w:ascii="Arial" w:cs="Arial" w:eastAsia="Arial" w:hAnsi="Arial"/>
          <w:sz w:val="22"/>
          <w:szCs w:val="22"/>
        </w:rPr>
        <w:t xml:space="preserve">Les types de sociétés : tableau comparatif.</w:t>
      </w:r>
    </w:p>
    <w:p>
      <w:pPr>
        <w:pStyle w:val="ListParagraph"/>
        <w:numPr>
          <w:ilvl w:val="0"/>
          <w:numId w:val="2"/>
        </w:numPr>
        <w:spacing w:after="60"/>
      </w:pPr>
      <w:r>
        <w:rPr>
          <w:rFonts w:ascii="Arial" w:cs="Arial" w:eastAsia="Arial" w:hAnsi="Arial"/>
          <w:sz w:val="22"/>
          <w:szCs w:val="22"/>
        </w:rPr>
        <w:t xml:space="preserve">La création : étapes à l'EDBM, délais, documents, nom et statuts.</w:t>
      </w:r>
    </w:p>
    <w:p>
      <w:pPr>
        <w:pStyle w:val="ListParagraph"/>
        <w:numPr>
          <w:ilvl w:val="0"/>
          <w:numId w:val="2"/>
        </w:numPr>
        <w:spacing w:after="60"/>
      </w:pPr>
      <w:r>
        <w:rPr>
          <w:rFonts w:ascii="Arial" w:cs="Arial" w:eastAsia="Arial" w:hAnsi="Arial"/>
          <w:sz w:val="22"/>
          <w:szCs w:val="22"/>
        </w:rPr>
        <w:t xml:space="preserve">La vie de la société : assemblées (AG, CA), convocation, quorum, représentation, procès-verbaux.</w:t>
      </w:r>
    </w:p>
    <w:p>
      <w:pPr>
        <w:pStyle w:val="ListParagraph"/>
        <w:numPr>
          <w:ilvl w:val="0"/>
          <w:numId w:val="2"/>
        </w:numPr>
        <w:spacing w:after="60"/>
      </w:pPr>
      <w:r>
        <w:rPr>
          <w:rFonts w:ascii="Arial" w:cs="Arial" w:eastAsia="Arial" w:hAnsi="Arial"/>
          <w:sz w:val="22"/>
          <w:szCs w:val="22"/>
        </w:rPr>
        <w:t xml:space="preserve">Le logiciel : objectif, fonctionnement, démonstration avec un exemple complet.</w:t>
      </w:r>
    </w:p>
    <w:p>
      <w:pPr>
        <w:pStyle w:val="ListParagraph"/>
        <w:numPr>
          <w:ilvl w:val="0"/>
          <w:numId w:val="2"/>
        </w:numPr>
        <w:spacing w:after="60"/>
      </w:pPr>
      <w:r>
        <w:rPr>
          <w:rFonts w:ascii="Arial" w:cs="Arial" w:eastAsia="Arial" w:hAnsi="Arial"/>
          <w:sz w:val="22"/>
          <w:szCs w:val="22"/>
        </w:rPr>
        <w:t xml:space="preserve">Conclusion : apports et limites.</w:t>
      </w:r>
    </w:p>
    <w:p>
      <w:pPr>
        <w:pStyle w:val="Heading1"/>
      </w:pPr>
      <w:r>
        <w:rPr>
          <w:rFonts w:ascii="Arial" w:cs="Arial" w:eastAsia="Arial" w:hAnsi="Arial"/>
        </w:rPr>
        <w:t xml:space="preserve">11. Ordre de travail</w:t>
      </w:r>
    </w:p>
    <w:p>
      <w:pPr>
        <w:pStyle w:val="ListParagraph"/>
        <w:numPr>
          <w:ilvl w:val="0"/>
          <w:numId w:val="2"/>
        </w:numPr>
        <w:spacing w:after="60"/>
      </w:pPr>
      <w:r>
        <w:rPr>
          <w:rFonts w:ascii="Arial" w:cs="Arial" w:eastAsia="Arial" w:hAnsi="Arial"/>
          <w:b/>
          <w:bCs/>
          <w:sz w:val="22"/>
          <w:szCs w:val="22"/>
        </w:rPr>
        <w:t xml:space="preserve">Étape 1 : </w:t>
      </w:r>
      <w:r>
        <w:rPr>
          <w:rFonts w:ascii="Arial" w:cs="Arial" w:eastAsia="Arial" w:hAnsi="Arial"/>
          <w:sz w:val="22"/>
          <w:szCs w:val="22"/>
        </w:rPr>
        <w:t xml:space="preserve">Tsiory termine T1 et T2 (débloque Oli) ; Oli installe le moteur PDF (O1). Pull request de feature-tsiory vers dev.</w:t>
      </w:r>
    </w:p>
    <w:p>
      <w:pPr>
        <w:pStyle w:val="ListParagraph"/>
        <w:numPr>
          <w:ilvl w:val="0"/>
          <w:numId w:val="2"/>
        </w:numPr>
        <w:spacing w:after="60"/>
      </w:pPr>
      <w:r>
        <w:rPr>
          <w:rFonts w:ascii="Arial" w:cs="Arial" w:eastAsia="Arial" w:hAnsi="Arial"/>
          <w:b/>
          <w:bCs/>
          <w:sz w:val="22"/>
          <w:szCs w:val="22"/>
        </w:rPr>
        <w:t xml:space="preserve">Étape 2 : </w:t>
      </w:r>
      <w:r>
        <w:rPr>
          <w:rFonts w:ascii="Arial" w:cs="Arial" w:eastAsia="Arial" w:hAnsi="Arial"/>
          <w:sz w:val="22"/>
          <w:szCs w:val="22"/>
        </w:rPr>
        <w:t xml:space="preserve">Tsiory : T3, T4, T5. Oli : O2 et O3.</w:t>
      </w:r>
    </w:p>
    <w:p>
      <w:pPr>
        <w:pStyle w:val="ListParagraph"/>
        <w:numPr>
          <w:ilvl w:val="0"/>
          <w:numId w:val="2"/>
        </w:numPr>
        <w:spacing w:after="60"/>
      </w:pPr>
      <w:r>
        <w:rPr>
          <w:rFonts w:ascii="Arial" w:cs="Arial" w:eastAsia="Arial" w:hAnsi="Arial"/>
          <w:b/>
          <w:bCs/>
          <w:sz w:val="22"/>
          <w:szCs w:val="22"/>
        </w:rPr>
        <w:t xml:space="preserve">Étape 3 : </w:t>
      </w:r>
      <w:r>
        <w:rPr>
          <w:rFonts w:ascii="Arial" w:cs="Arial" w:eastAsia="Arial" w:hAnsi="Arial"/>
          <w:sz w:val="22"/>
          <w:szCs w:val="22"/>
        </w:rPr>
        <w:t xml:space="preserve">Tsiory : T6, T7, T8. Oli : O4 et O5.</w:t>
      </w:r>
    </w:p>
    <w:p>
      <w:pPr>
        <w:pStyle w:val="ListParagraph"/>
        <w:numPr>
          <w:ilvl w:val="0"/>
          <w:numId w:val="2"/>
        </w:numPr>
        <w:spacing w:after="60"/>
      </w:pPr>
      <w:r>
        <w:rPr>
          <w:rFonts w:ascii="Arial" w:cs="Arial" w:eastAsia="Arial" w:hAnsi="Arial"/>
          <w:b/>
          <w:bCs/>
          <w:sz w:val="22"/>
          <w:szCs w:val="22"/>
        </w:rPr>
        <w:t xml:space="preserve">Étape 4 : </w:t>
      </w:r>
      <w:r>
        <w:rPr>
          <w:rFonts w:ascii="Arial" w:cs="Arial" w:eastAsia="Arial" w:hAnsi="Arial"/>
          <w:sz w:val="22"/>
          <w:szCs w:val="22"/>
        </w:rPr>
        <w:t xml:space="preserve">Tsiory : T9 et T10. Oli : O6, O7, O8.</w:t>
      </w:r>
    </w:p>
    <w:p>
      <w:pPr>
        <w:pStyle w:val="ListParagraph"/>
        <w:numPr>
          <w:ilvl w:val="0"/>
          <w:numId w:val="2"/>
        </w:numPr>
        <w:spacing w:after="60"/>
      </w:pPr>
      <w:r>
        <w:rPr>
          <w:rFonts w:ascii="Arial" w:cs="Arial" w:eastAsia="Arial" w:hAnsi="Arial"/>
          <w:b/>
          <w:bCs/>
          <w:sz w:val="22"/>
          <w:szCs w:val="22"/>
        </w:rPr>
        <w:t xml:space="preserve">Étape 5 : </w:t>
      </w:r>
      <w:r>
        <w:rPr>
          <w:rFonts w:ascii="Arial" w:cs="Arial" w:eastAsia="Arial" w:hAnsi="Arial"/>
          <w:sz w:val="22"/>
          <w:szCs w:val="22"/>
        </w:rPr>
        <w:t xml:space="preserve">travail en commun (section 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2026-10-11T10:59:46.645Z</dcterms:created>
  <dcterms:modified xsi:type="dcterms:W3CDTF">2026-10-11T10:59:46.651Z</dcterms:modified>
</cp:coreProperties>
</file>

<file path=docProps/custom.xml><?xml version="1.0" encoding="utf-8"?>
<Properties xmlns="http://schemas.openxmlformats.org/officeDocument/2006/custom-properties" xmlns:vt="http://schemas.openxmlformats.org/officeDocument/2006/docPropsVTypes"/>
</file>