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B74A6">
      <w:pPr>
        <w:jc w:val="center"/>
      </w:pPr>
      <w:r>
        <w:rPr>
          <w:b/>
          <w:color w:val="163A5F"/>
          <w:sz w:val="48"/>
        </w:rPr>
        <w:t>WEEK 7 — ANALYTICS TESTING &amp; REFINEMENT REPORT</w:t>
      </w:r>
    </w:p>
    <w:p w14:paraId="2D1CB7ED">
      <w:pPr>
        <w:jc w:val="center"/>
      </w:pPr>
      <w:r>
        <w:rPr>
          <w:color w:val="2F75B5"/>
          <w:sz w:val="20"/>
        </w:rPr>
        <w:t>HealthConnect Clinic Experience Lab • AnalystLab Africa • Data Analytics</w:t>
      </w:r>
    </w:p>
    <w:p w14:paraId="4FD7083C">
      <w:r>
        <w:t>Final Data Analytics deliverable • Testing, KPI validation, dashboard refinement and validated findings</w:t>
      </w:r>
    </w:p>
    <w:p w14:paraId="017D22EA">
      <w:pPr>
        <w:pStyle w:val="2"/>
      </w:pPr>
      <w:r>
        <w:t>1. Executive Summary</w:t>
      </w:r>
    </w:p>
    <w:p w14:paraId="62C643FF">
      <w:r>
        <w:t>Week 7 tested the Week 6 Data Analytics outputs rather than repeating the original exploratory analysis. Independent reconciliation against the approved 5,000-row HealthConnect appointment dataset confirmed the core KPI calculations, the principal no-show patterns, and the internal consistency of the source data. The strongest validated signal remains booking lead time, followed by previous no-show history. Reminder status and distance provide supporting descriptive signals, while waiting time shows little separation.</w:t>
      </w:r>
    </w:p>
    <w:p w14:paraId="7AFDA6FD">
      <w:pPr>
        <w:pStyle w:val="2"/>
      </w:pPr>
      <w:r>
        <w:t>2. Week 6 → Week 7 Transition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961D3EC">
        <w:trPr>
          <w:jc w:val="center"/>
        </w:trPr>
        <w:tc>
          <w:tcPr>
            <w:tcW w:w="3408" w:type="dxa"/>
            <w:shd w:val="clear" w:color="auto" w:fill="163A5F"/>
            <w:vAlign w:val="center"/>
          </w:tcPr>
          <w:p w14:paraId="6938DF6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408" w:type="dxa"/>
            <w:shd w:val="clear" w:color="auto" w:fill="163A5F"/>
            <w:vAlign w:val="center"/>
          </w:tcPr>
          <w:p w14:paraId="349078C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Week 6 position</w:t>
            </w:r>
          </w:p>
        </w:tc>
        <w:tc>
          <w:tcPr>
            <w:tcW w:w="3408" w:type="dxa"/>
            <w:shd w:val="clear" w:color="auto" w:fill="163A5F"/>
            <w:vAlign w:val="center"/>
          </w:tcPr>
          <w:p w14:paraId="6CB679D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Week 7 result</w:t>
            </w:r>
          </w:p>
        </w:tc>
      </w:tr>
      <w:tr w14:paraId="30E6E7D8">
        <w:trPr>
          <w:jc w:val="center"/>
        </w:trPr>
        <w:tc>
          <w:tcPr>
            <w:tcW w:w="3408" w:type="dxa"/>
            <w:vAlign w:val="center"/>
          </w:tcPr>
          <w:p w14:paraId="1DD0C1E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Primary output</w:t>
            </w:r>
          </w:p>
        </w:tc>
        <w:tc>
          <w:tcPr>
            <w:tcW w:w="3408" w:type="dxa"/>
            <w:vAlign w:val="center"/>
          </w:tcPr>
          <w:p w14:paraId="748BA06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Advanced attendance/no-show decision-support dashboard</w:t>
            </w:r>
          </w:p>
        </w:tc>
        <w:tc>
          <w:tcPr>
            <w:tcW w:w="3408" w:type="dxa"/>
            <w:vAlign w:val="center"/>
          </w:tcPr>
          <w:p w14:paraId="4E82327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Outputs independently reconciled and refined</w:t>
            </w:r>
          </w:p>
        </w:tc>
      </w:tr>
      <w:tr w14:paraId="2E922F28">
        <w:trPr>
          <w:jc w:val="center"/>
        </w:trPr>
        <w:tc>
          <w:tcPr>
            <w:tcW w:w="3408" w:type="dxa"/>
            <w:vAlign w:val="center"/>
          </w:tcPr>
          <w:p w14:paraId="1EE2ABD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Testing focus</w:t>
            </w:r>
          </w:p>
        </w:tc>
        <w:tc>
          <w:tcPr>
            <w:tcW w:w="3408" w:type="dxa"/>
            <w:vAlign w:val="center"/>
          </w:tcPr>
          <w:p w14:paraId="010B842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Strongest analytical signals and KPI framework</w:t>
            </w:r>
          </w:p>
        </w:tc>
        <w:tc>
          <w:tcPr>
            <w:tcW w:w="3408" w:type="dxa"/>
            <w:vAlign w:val="center"/>
          </w:tcPr>
          <w:p w14:paraId="0B3121D7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KPI, data, segment, filter and visual validation</w:t>
            </w:r>
          </w:p>
        </w:tc>
      </w:tr>
      <w:tr w14:paraId="1995A59D">
        <w:trPr>
          <w:jc w:val="center"/>
        </w:trPr>
        <w:tc>
          <w:tcPr>
            <w:tcW w:w="3408" w:type="dxa"/>
            <w:vAlign w:val="center"/>
          </w:tcPr>
          <w:p w14:paraId="1FC81D5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Main risk</w:t>
            </w:r>
          </w:p>
        </w:tc>
        <w:tc>
          <w:tcPr>
            <w:tcW w:w="3408" w:type="dxa"/>
            <w:vAlign w:val="center"/>
          </w:tcPr>
          <w:p w14:paraId="0648281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Descriptive findings could be over-interpreted</w:t>
            </w:r>
          </w:p>
        </w:tc>
        <w:tc>
          <w:tcPr>
            <w:tcW w:w="3408" w:type="dxa"/>
            <w:vAlign w:val="center"/>
          </w:tcPr>
          <w:p w14:paraId="4607A6C8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Association-only wording and limitations documented</w:t>
            </w:r>
          </w:p>
        </w:tc>
      </w:tr>
      <w:tr w14:paraId="1E0B4219">
        <w:trPr>
          <w:jc w:val="center"/>
        </w:trPr>
        <w:tc>
          <w:tcPr>
            <w:tcW w:w="3408" w:type="dxa"/>
            <w:vAlign w:val="center"/>
          </w:tcPr>
          <w:p w14:paraId="3376ABD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Dashboard refinement</w:t>
            </w:r>
          </w:p>
        </w:tc>
        <w:tc>
          <w:tcPr>
            <w:tcW w:w="3408" w:type="dxa"/>
            <w:vAlign w:val="center"/>
          </w:tcPr>
          <w:p w14:paraId="447E281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Risk-driver and operational visuals</w:t>
            </w:r>
          </w:p>
        </w:tc>
        <w:tc>
          <w:tcPr>
            <w:tcW w:w="3408" w:type="dxa"/>
            <w:vAlign w:val="center"/>
          </w:tcPr>
          <w:p w14:paraId="6D854F5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Clearer KPI definitions, ordering, missing-data handling and filter checks</w:t>
            </w:r>
          </w:p>
        </w:tc>
      </w:tr>
      <w:tr w14:paraId="7A99F326">
        <w:trPr>
          <w:jc w:val="center"/>
        </w:trPr>
        <w:tc>
          <w:tcPr>
            <w:tcW w:w="3408" w:type="dxa"/>
            <w:vAlign w:val="center"/>
          </w:tcPr>
          <w:p w14:paraId="60E983A7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Cross-track evidence</w:t>
            </w:r>
          </w:p>
        </w:tc>
        <w:tc>
          <w:tcPr>
            <w:tcW w:w="3408" w:type="dxa"/>
            <w:vAlign w:val="center"/>
          </w:tcPr>
          <w:p w14:paraId="50E6823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Existing Data Science handoff</w:t>
            </w:r>
          </w:p>
        </w:tc>
        <w:tc>
          <w:tcPr>
            <w:tcW w:w="3408" w:type="dxa"/>
            <w:vAlign w:val="center"/>
          </w:tcPr>
          <w:p w14:paraId="0643E87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Existing handoff used as reference; no new model decision claimed</w:t>
            </w:r>
          </w:p>
        </w:tc>
      </w:tr>
    </w:tbl>
    <w:p w14:paraId="3E5D583B">
      <w:pPr>
        <w:pStyle w:val="2"/>
      </w:pPr>
      <w:r>
        <w:t>3. Testing Approach</w:t>
      </w:r>
    </w:p>
    <w:p w14:paraId="2A5B2D9A">
      <w:pPr>
        <w:pStyle w:val="23"/>
      </w:pPr>
      <w:r>
        <w:t>Recalculated the main KPIs independently from the original CSV.</w:t>
      </w:r>
    </w:p>
    <w:p w14:paraId="79C9030D">
      <w:pPr>
        <w:pStyle w:val="23"/>
      </w:pPr>
      <w:r>
        <w:t>Checked row count, uniqueness, duplicate records, date logic, lead-time consistency and historical-count consistency.</w:t>
      </w:r>
    </w:p>
    <w:p w14:paraId="054FB4B5">
      <w:pPr>
        <w:pStyle w:val="23"/>
      </w:pPr>
      <w:r>
        <w:t>Recomputed the principal Week 6 findings by lead time, prior no-show history, reminder status, distance and patient status.</w:t>
      </w:r>
    </w:p>
    <w:p w14:paraId="04734F94">
      <w:pPr>
        <w:pStyle w:val="23"/>
      </w:pPr>
      <w:r>
        <w:t>Tested representative dashboard filter scenarios using independent grouped calculations.</w:t>
      </w:r>
    </w:p>
    <w:p w14:paraId="2F351538">
      <w:pPr>
        <w:pStyle w:val="23"/>
      </w:pPr>
      <w:r>
        <w:t>Reviewed visual interpretation for category ordering, missing-data treatment and causal-language risk.</w:t>
      </w:r>
    </w:p>
    <w:p w14:paraId="1079DFC6">
      <w:pPr>
        <w:pStyle w:val="23"/>
      </w:pPr>
      <w:r>
        <w:t>Retested the refined analytical definitions after the documented changes.</w:t>
      </w:r>
    </w:p>
    <w:p w14:paraId="0BAEAE34">
      <w:pPr>
        <w:pStyle w:val="2"/>
      </w:pPr>
      <w:r>
        <w:t>4. KPI Validation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3B4F8A52">
        <w:trPr>
          <w:jc w:val="center"/>
        </w:trPr>
        <w:tc>
          <w:tcPr>
            <w:tcW w:w="2556" w:type="dxa"/>
            <w:shd w:val="clear" w:color="auto" w:fill="163A5F"/>
            <w:vAlign w:val="center"/>
          </w:tcPr>
          <w:p w14:paraId="55C05B2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556" w:type="dxa"/>
            <w:shd w:val="clear" w:color="auto" w:fill="163A5F"/>
            <w:vAlign w:val="center"/>
          </w:tcPr>
          <w:p w14:paraId="121F5AE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Validated value</w:t>
            </w:r>
          </w:p>
        </w:tc>
        <w:tc>
          <w:tcPr>
            <w:tcW w:w="2556" w:type="dxa"/>
            <w:shd w:val="clear" w:color="auto" w:fill="163A5F"/>
            <w:vAlign w:val="center"/>
          </w:tcPr>
          <w:p w14:paraId="2CA890B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556" w:type="dxa"/>
            <w:shd w:val="clear" w:color="auto" w:fill="163A5F"/>
            <w:vAlign w:val="center"/>
          </w:tcPr>
          <w:p w14:paraId="4EF6087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14:paraId="58E881CE">
        <w:trPr>
          <w:jc w:val="center"/>
        </w:trPr>
        <w:tc>
          <w:tcPr>
            <w:tcW w:w="2556" w:type="dxa"/>
            <w:vAlign w:val="center"/>
          </w:tcPr>
          <w:p w14:paraId="17E047D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Appointment Records</w:t>
            </w:r>
          </w:p>
        </w:tc>
        <w:tc>
          <w:tcPr>
            <w:tcW w:w="2556" w:type="dxa"/>
            <w:vAlign w:val="center"/>
          </w:tcPr>
          <w:p w14:paraId="3FB0C09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5,000</w:t>
            </w:r>
          </w:p>
        </w:tc>
        <w:tc>
          <w:tcPr>
            <w:tcW w:w="2556" w:type="dxa"/>
            <w:vAlign w:val="center"/>
          </w:tcPr>
          <w:p w14:paraId="7A73AB3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0594AD7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7DC6F532">
        <w:trPr>
          <w:jc w:val="center"/>
        </w:trPr>
        <w:tc>
          <w:tcPr>
            <w:tcW w:w="2556" w:type="dxa"/>
            <w:vAlign w:val="center"/>
          </w:tcPr>
          <w:p w14:paraId="5571917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No-Show Records</w:t>
            </w:r>
          </w:p>
        </w:tc>
        <w:tc>
          <w:tcPr>
            <w:tcW w:w="2556" w:type="dxa"/>
            <w:vAlign w:val="center"/>
          </w:tcPr>
          <w:p w14:paraId="7099E38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2,423</w:t>
            </w:r>
          </w:p>
        </w:tc>
        <w:tc>
          <w:tcPr>
            <w:tcW w:w="2556" w:type="dxa"/>
            <w:vAlign w:val="center"/>
          </w:tcPr>
          <w:p w14:paraId="5A164689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0F464558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2029F6A2">
        <w:trPr>
          <w:jc w:val="center"/>
        </w:trPr>
        <w:tc>
          <w:tcPr>
            <w:tcW w:w="2556" w:type="dxa"/>
            <w:vAlign w:val="center"/>
          </w:tcPr>
          <w:p w14:paraId="26EEF2D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Attended Records</w:t>
            </w:r>
          </w:p>
        </w:tc>
        <w:tc>
          <w:tcPr>
            <w:tcW w:w="2556" w:type="dxa"/>
            <w:vAlign w:val="center"/>
          </w:tcPr>
          <w:p w14:paraId="48409F4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2,314</w:t>
            </w:r>
          </w:p>
        </w:tc>
        <w:tc>
          <w:tcPr>
            <w:tcW w:w="2556" w:type="dxa"/>
            <w:vAlign w:val="center"/>
          </w:tcPr>
          <w:p w14:paraId="118C606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270B8DE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319CA793">
        <w:trPr>
          <w:jc w:val="center"/>
        </w:trPr>
        <w:tc>
          <w:tcPr>
            <w:tcW w:w="2556" w:type="dxa"/>
            <w:vAlign w:val="center"/>
          </w:tcPr>
          <w:p w14:paraId="404E275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Cancelled Records</w:t>
            </w:r>
          </w:p>
        </w:tc>
        <w:tc>
          <w:tcPr>
            <w:tcW w:w="2556" w:type="dxa"/>
            <w:vAlign w:val="center"/>
          </w:tcPr>
          <w:p w14:paraId="5904E9F9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263</w:t>
            </w:r>
          </w:p>
        </w:tc>
        <w:tc>
          <w:tcPr>
            <w:tcW w:w="2556" w:type="dxa"/>
            <w:vAlign w:val="center"/>
          </w:tcPr>
          <w:p w14:paraId="1D3DB42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6D5BEE8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744E2380">
        <w:trPr>
          <w:jc w:val="center"/>
        </w:trPr>
        <w:tc>
          <w:tcPr>
            <w:tcW w:w="2556" w:type="dxa"/>
            <w:vAlign w:val="center"/>
          </w:tcPr>
          <w:p w14:paraId="76F4A1B7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No-Show Rate</w:t>
            </w:r>
          </w:p>
        </w:tc>
        <w:tc>
          <w:tcPr>
            <w:tcW w:w="2556" w:type="dxa"/>
            <w:vAlign w:val="center"/>
          </w:tcPr>
          <w:p w14:paraId="2655752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48.46%</w:t>
            </w:r>
          </w:p>
        </w:tc>
        <w:tc>
          <w:tcPr>
            <w:tcW w:w="2556" w:type="dxa"/>
            <w:vAlign w:val="center"/>
          </w:tcPr>
          <w:p w14:paraId="302378D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198E282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0F5DAD13">
        <w:trPr>
          <w:jc w:val="center"/>
        </w:trPr>
        <w:tc>
          <w:tcPr>
            <w:tcW w:w="2556" w:type="dxa"/>
            <w:vAlign w:val="center"/>
          </w:tcPr>
          <w:p w14:paraId="18C937B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Attendance Rate</w:t>
            </w:r>
          </w:p>
        </w:tc>
        <w:tc>
          <w:tcPr>
            <w:tcW w:w="2556" w:type="dxa"/>
            <w:vAlign w:val="center"/>
          </w:tcPr>
          <w:p w14:paraId="5A241C9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46.28%</w:t>
            </w:r>
          </w:p>
        </w:tc>
        <w:tc>
          <w:tcPr>
            <w:tcW w:w="2556" w:type="dxa"/>
            <w:vAlign w:val="center"/>
          </w:tcPr>
          <w:p w14:paraId="7487121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2F958A7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3E3A1E30">
        <w:trPr>
          <w:jc w:val="center"/>
        </w:trPr>
        <w:tc>
          <w:tcPr>
            <w:tcW w:w="2556" w:type="dxa"/>
            <w:vAlign w:val="center"/>
          </w:tcPr>
          <w:p w14:paraId="0E04192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Reminder Coverage</w:t>
            </w:r>
          </w:p>
        </w:tc>
        <w:tc>
          <w:tcPr>
            <w:tcW w:w="2556" w:type="dxa"/>
            <w:vAlign w:val="center"/>
          </w:tcPr>
          <w:p w14:paraId="1A06C93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72.68%</w:t>
            </w:r>
          </w:p>
        </w:tc>
        <w:tc>
          <w:tcPr>
            <w:tcW w:w="2556" w:type="dxa"/>
            <w:vAlign w:val="center"/>
          </w:tcPr>
          <w:p w14:paraId="0F2F23B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16E1436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108AD29D">
        <w:trPr>
          <w:jc w:val="center"/>
        </w:trPr>
        <w:tc>
          <w:tcPr>
            <w:tcW w:w="2556" w:type="dxa"/>
            <w:vAlign w:val="center"/>
          </w:tcPr>
          <w:p w14:paraId="14DBEB2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Repeat No-Show Rate</w:t>
            </w:r>
          </w:p>
        </w:tc>
        <w:tc>
          <w:tcPr>
            <w:tcW w:w="2556" w:type="dxa"/>
            <w:vAlign w:val="center"/>
          </w:tcPr>
          <w:p w14:paraId="70AFDC7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55.41%</w:t>
            </w:r>
          </w:p>
        </w:tc>
        <w:tc>
          <w:tcPr>
            <w:tcW w:w="2556" w:type="dxa"/>
            <w:vAlign w:val="center"/>
          </w:tcPr>
          <w:p w14:paraId="08FD660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5EBFD1C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32769B01">
        <w:trPr>
          <w:jc w:val="center"/>
        </w:trPr>
        <w:tc>
          <w:tcPr>
            <w:tcW w:w="2556" w:type="dxa"/>
            <w:vAlign w:val="center"/>
          </w:tcPr>
          <w:p w14:paraId="4C9B156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Average Lead Days</w:t>
            </w:r>
          </w:p>
        </w:tc>
        <w:tc>
          <w:tcPr>
            <w:tcW w:w="2556" w:type="dxa"/>
            <w:vAlign w:val="center"/>
          </w:tcPr>
          <w:p w14:paraId="26C71A4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29.64</w:t>
            </w:r>
          </w:p>
        </w:tc>
        <w:tc>
          <w:tcPr>
            <w:tcW w:w="2556" w:type="dxa"/>
            <w:vAlign w:val="center"/>
          </w:tcPr>
          <w:p w14:paraId="23841A19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0188A1A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  <w:tr w14:paraId="1FEE1984">
        <w:trPr>
          <w:jc w:val="center"/>
        </w:trPr>
        <w:tc>
          <w:tcPr>
            <w:tcW w:w="2556" w:type="dxa"/>
            <w:vAlign w:val="center"/>
          </w:tcPr>
          <w:p w14:paraId="651DCCE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Average Distance Km</w:t>
            </w:r>
          </w:p>
        </w:tc>
        <w:tc>
          <w:tcPr>
            <w:tcW w:w="2556" w:type="dxa"/>
            <w:vAlign w:val="center"/>
          </w:tcPr>
          <w:p w14:paraId="6C27734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10.11</w:t>
            </w:r>
          </w:p>
        </w:tc>
        <w:tc>
          <w:tcPr>
            <w:tcW w:w="2556" w:type="dxa"/>
            <w:vAlign w:val="center"/>
          </w:tcPr>
          <w:p w14:paraId="6DC6101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556" w:type="dxa"/>
            <w:vAlign w:val="center"/>
          </w:tcPr>
          <w:p w14:paraId="1A9F2A7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calculation</w:t>
            </w:r>
          </w:p>
        </w:tc>
      </w:tr>
    </w:tbl>
    <w:p w14:paraId="6A06D03A">
      <w:r>
        <w:t>The validated headline figures reconcile to the documented project baseline: 48.46% no-show rate, 46.28% attendance rate, 72.68% reminder coverage and approximately 55.41% repeat no-show rate.</w:t>
      </w:r>
    </w:p>
    <w:p w14:paraId="1ADA67A9">
      <w:pPr>
        <w:pStyle w:val="2"/>
      </w:pPr>
      <w:r>
        <w:t>5. Data Integrity Tests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5DEAFEF3">
        <w:trPr>
          <w:jc w:val="center"/>
        </w:trPr>
        <w:tc>
          <w:tcPr>
            <w:tcW w:w="2045" w:type="dxa"/>
            <w:shd w:val="clear" w:color="auto" w:fill="163A5F"/>
            <w:vAlign w:val="center"/>
          </w:tcPr>
          <w:p w14:paraId="6C4C1C0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045" w:type="dxa"/>
            <w:shd w:val="clear" w:color="auto" w:fill="163A5F"/>
            <w:vAlign w:val="center"/>
          </w:tcPr>
          <w:p w14:paraId="664323A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2045" w:type="dxa"/>
            <w:shd w:val="clear" w:color="auto" w:fill="163A5F"/>
            <w:vAlign w:val="center"/>
          </w:tcPr>
          <w:p w14:paraId="36D0539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w="2045" w:type="dxa"/>
            <w:shd w:val="clear" w:color="auto" w:fill="163A5F"/>
            <w:vAlign w:val="center"/>
          </w:tcPr>
          <w:p w14:paraId="42AFE7C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2045" w:type="dxa"/>
            <w:shd w:val="clear" w:color="auto" w:fill="163A5F"/>
            <w:vAlign w:val="center"/>
          </w:tcPr>
          <w:p w14:paraId="009F2EF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14:paraId="0187BC3E">
        <w:trPr>
          <w:jc w:val="center"/>
        </w:trPr>
        <w:tc>
          <w:tcPr>
            <w:tcW w:w="2045" w:type="dxa"/>
            <w:vAlign w:val="center"/>
          </w:tcPr>
          <w:p w14:paraId="4C08AE1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Row count reconciliation</w:t>
            </w:r>
          </w:p>
        </w:tc>
        <w:tc>
          <w:tcPr>
            <w:tcW w:w="2045" w:type="dxa"/>
            <w:vAlign w:val="center"/>
          </w:tcPr>
          <w:p w14:paraId="53A6EBD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5000</w:t>
            </w:r>
          </w:p>
        </w:tc>
        <w:tc>
          <w:tcPr>
            <w:tcW w:w="2045" w:type="dxa"/>
            <w:vAlign w:val="center"/>
          </w:tcPr>
          <w:p w14:paraId="3598873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5000</w:t>
            </w:r>
          </w:p>
        </w:tc>
        <w:tc>
          <w:tcPr>
            <w:tcW w:w="2045" w:type="dxa"/>
            <w:vAlign w:val="center"/>
          </w:tcPr>
          <w:p w14:paraId="4B239C3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0398992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Independent CSV row count matches project baseline.</w:t>
            </w:r>
          </w:p>
        </w:tc>
      </w:tr>
      <w:tr w14:paraId="27984FCC">
        <w:trPr>
          <w:jc w:val="center"/>
        </w:trPr>
        <w:tc>
          <w:tcPr>
            <w:tcW w:w="2045" w:type="dxa"/>
            <w:vAlign w:val="center"/>
          </w:tcPr>
          <w:p w14:paraId="47034E5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Unique appointment IDs</w:t>
            </w:r>
          </w:p>
        </w:tc>
        <w:tc>
          <w:tcPr>
            <w:tcW w:w="2045" w:type="dxa"/>
            <w:vAlign w:val="center"/>
          </w:tcPr>
          <w:p w14:paraId="7DFE3C8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5000</w:t>
            </w:r>
          </w:p>
        </w:tc>
        <w:tc>
          <w:tcPr>
            <w:tcW w:w="2045" w:type="dxa"/>
            <w:vAlign w:val="center"/>
          </w:tcPr>
          <w:p w14:paraId="73729B8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5000</w:t>
            </w:r>
          </w:p>
        </w:tc>
        <w:tc>
          <w:tcPr>
            <w:tcW w:w="2045" w:type="dxa"/>
            <w:vAlign w:val="center"/>
          </w:tcPr>
          <w:p w14:paraId="463B14F7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7EC87AE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No duplicate appointment IDs.</w:t>
            </w:r>
          </w:p>
        </w:tc>
      </w:tr>
      <w:tr w14:paraId="39DFDFC1">
        <w:trPr>
          <w:jc w:val="center"/>
        </w:trPr>
        <w:tc>
          <w:tcPr>
            <w:tcW w:w="2045" w:type="dxa"/>
            <w:vAlign w:val="center"/>
          </w:tcPr>
          <w:p w14:paraId="084371E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Exact duplicate rows</w:t>
            </w:r>
          </w:p>
        </w:tc>
        <w:tc>
          <w:tcPr>
            <w:tcW w:w="2045" w:type="dxa"/>
            <w:vAlign w:val="center"/>
          </w:tcPr>
          <w:p w14:paraId="07E3204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71F3B71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68067F1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7AF7530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No exact duplicate records.</w:t>
            </w:r>
          </w:p>
        </w:tc>
      </w:tr>
      <w:tr w14:paraId="46C8E741">
        <w:trPr>
          <w:jc w:val="center"/>
        </w:trPr>
        <w:tc>
          <w:tcPr>
            <w:tcW w:w="2045" w:type="dxa"/>
            <w:vAlign w:val="center"/>
          </w:tcPr>
          <w:p w14:paraId="483FF0F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Missing distance</w:t>
            </w:r>
          </w:p>
        </w:tc>
        <w:tc>
          <w:tcPr>
            <w:tcW w:w="2045" w:type="dxa"/>
            <w:vAlign w:val="center"/>
          </w:tcPr>
          <w:p w14:paraId="15E47A2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90</w:t>
            </w:r>
          </w:p>
        </w:tc>
        <w:tc>
          <w:tcPr>
            <w:tcW w:w="2045" w:type="dxa"/>
            <w:vAlign w:val="center"/>
          </w:tcPr>
          <w:p w14:paraId="64DA79F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90</w:t>
            </w:r>
          </w:p>
        </w:tc>
        <w:tc>
          <w:tcPr>
            <w:tcW w:w="2045" w:type="dxa"/>
            <w:vAlign w:val="center"/>
          </w:tcPr>
          <w:p w14:paraId="7707E4F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2995CE4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Missingness retained; no imputation introduced.</w:t>
            </w:r>
          </w:p>
        </w:tc>
      </w:tr>
      <w:tr w14:paraId="385194B6">
        <w:trPr>
          <w:jc w:val="center"/>
        </w:trPr>
        <w:tc>
          <w:tcPr>
            <w:tcW w:w="2045" w:type="dxa"/>
            <w:vAlign w:val="center"/>
          </w:tcPr>
          <w:p w14:paraId="0935CBB8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Missing waiting time</w:t>
            </w:r>
          </w:p>
        </w:tc>
        <w:tc>
          <w:tcPr>
            <w:tcW w:w="2045" w:type="dxa"/>
            <w:vAlign w:val="center"/>
          </w:tcPr>
          <w:p w14:paraId="44A5409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60</w:t>
            </w:r>
          </w:p>
        </w:tc>
        <w:tc>
          <w:tcPr>
            <w:tcW w:w="2045" w:type="dxa"/>
            <w:vAlign w:val="center"/>
          </w:tcPr>
          <w:p w14:paraId="7064B09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60</w:t>
            </w:r>
          </w:p>
        </w:tc>
        <w:tc>
          <w:tcPr>
            <w:tcW w:w="2045" w:type="dxa"/>
            <w:vAlign w:val="center"/>
          </w:tcPr>
          <w:p w14:paraId="2528F13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01F35D2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Missingness retained; no imputation introduced.</w:t>
            </w:r>
          </w:p>
        </w:tc>
      </w:tr>
      <w:tr w14:paraId="7BBDBEAA">
        <w:trPr>
          <w:jc w:val="center"/>
        </w:trPr>
        <w:tc>
          <w:tcPr>
            <w:tcW w:w="2045" w:type="dxa"/>
            <w:vAlign w:val="center"/>
          </w:tcPr>
          <w:p w14:paraId="45999B4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Missing reminder channel</w:t>
            </w:r>
          </w:p>
        </w:tc>
        <w:tc>
          <w:tcPr>
            <w:tcW w:w="2045" w:type="dxa"/>
            <w:vAlign w:val="center"/>
          </w:tcPr>
          <w:p w14:paraId="535E73F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1366</w:t>
            </w:r>
          </w:p>
        </w:tc>
        <w:tc>
          <w:tcPr>
            <w:tcW w:w="2045" w:type="dxa"/>
            <w:vAlign w:val="center"/>
          </w:tcPr>
          <w:p w14:paraId="6CD58D9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1366</w:t>
            </w:r>
          </w:p>
        </w:tc>
        <w:tc>
          <w:tcPr>
            <w:tcW w:w="2045" w:type="dxa"/>
            <w:vAlign w:val="center"/>
          </w:tcPr>
          <w:p w14:paraId="53E732C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6BAFF878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Structural blanks are expected where no reminder was sent.</w:t>
            </w:r>
          </w:p>
        </w:tc>
      </w:tr>
      <w:tr w14:paraId="0EFD0987">
        <w:trPr>
          <w:jc w:val="center"/>
        </w:trPr>
        <w:tc>
          <w:tcPr>
            <w:tcW w:w="2045" w:type="dxa"/>
            <w:vAlign w:val="center"/>
          </w:tcPr>
          <w:p w14:paraId="4484FE2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Booking date after appointment date</w:t>
            </w:r>
          </w:p>
        </w:tc>
        <w:tc>
          <w:tcPr>
            <w:tcW w:w="2045" w:type="dxa"/>
            <w:vAlign w:val="center"/>
          </w:tcPr>
          <w:p w14:paraId="4B1D983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65EEACB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7F0E383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698CCFE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Date sequence is logically consistent.</w:t>
            </w:r>
          </w:p>
        </w:tc>
      </w:tr>
      <w:tr w14:paraId="4B7F3670">
        <w:trPr>
          <w:jc w:val="center"/>
        </w:trPr>
        <w:tc>
          <w:tcPr>
            <w:tcW w:w="2045" w:type="dxa"/>
            <w:vAlign w:val="center"/>
          </w:tcPr>
          <w:p w14:paraId="7DADDEB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Lead-day mismatch</w:t>
            </w:r>
          </w:p>
        </w:tc>
        <w:tc>
          <w:tcPr>
            <w:tcW w:w="2045" w:type="dxa"/>
            <w:vAlign w:val="center"/>
          </w:tcPr>
          <w:p w14:paraId="03F5D5C7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6C1B586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185E0D7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1EB0A2E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Provided lead days agree with date difference.</w:t>
            </w:r>
          </w:p>
        </w:tc>
      </w:tr>
      <w:tr w14:paraId="145E46B1">
        <w:trPr>
          <w:jc w:val="center"/>
        </w:trPr>
        <w:tc>
          <w:tcPr>
            <w:tcW w:w="2045" w:type="dxa"/>
            <w:vAlign w:val="center"/>
          </w:tcPr>
          <w:p w14:paraId="70DB0569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Previous no-shows &gt; previous appointments</w:t>
            </w:r>
          </w:p>
        </w:tc>
        <w:tc>
          <w:tcPr>
            <w:tcW w:w="2045" w:type="dxa"/>
            <w:vAlign w:val="center"/>
          </w:tcPr>
          <w:p w14:paraId="39D4A05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31EA1D3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0</w:t>
            </w:r>
          </w:p>
        </w:tc>
        <w:tc>
          <w:tcPr>
            <w:tcW w:w="2045" w:type="dxa"/>
            <w:vAlign w:val="center"/>
          </w:tcPr>
          <w:p w14:paraId="43634C0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  <w:tc>
          <w:tcPr>
            <w:tcW w:w="2045" w:type="dxa"/>
            <w:vAlign w:val="center"/>
          </w:tcPr>
          <w:p w14:paraId="2BF56CE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Historical counts are internally consistent.</w:t>
            </w:r>
          </w:p>
        </w:tc>
      </w:tr>
    </w:tbl>
    <w:p w14:paraId="35453DD4">
      <w:pPr>
        <w:pStyle w:val="2"/>
      </w:pPr>
      <w:r>
        <w:t>6. Analytical Validation Results</w:t>
      </w:r>
    </w:p>
    <w:p w14:paraId="3CA58236">
      <w:r>
        <w:t>6.1 Booking lead time</w:t>
      </w:r>
    </w:p>
    <w:p w14:paraId="195807B5">
      <w:r>
        <w:t>The no-show rate rises monotonically across the observed lead-time groups: 27.81%, 33.55%, 43.21%, 53.82% and 67.69%. The pattern therefore remains valid after independent recalculation.</w:t>
      </w:r>
    </w:p>
    <w:p w14:paraId="35797F7B">
      <w:r>
        <w:drawing>
          <wp:inline distT="0" distB="0" distL="114300" distR="114300">
            <wp:extent cx="5852160" cy="3247390"/>
            <wp:effectExtent l="0" t="0" r="152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552D">
      <w:r>
        <w:t>6.2 Previous no-show history</w:t>
      </w:r>
    </w:p>
    <w:p w14:paraId="5DA00A26">
      <w:r>
        <w:t>Records with at least one previous no-show have a 55.41% observed no-show rate versus 43.51% among records with no previous no-shows, a 11.90 percentage-point difference.</w:t>
      </w:r>
    </w:p>
    <w:p w14:paraId="1DAFE930">
      <w:r>
        <w:drawing>
          <wp:inline distT="0" distB="0" distL="114300" distR="114300">
            <wp:extent cx="5577840" cy="3301365"/>
            <wp:effectExtent l="0" t="0" r="1016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E116">
      <w:r>
        <w:t>6.3 Reminder status</w:t>
      </w:r>
    </w:p>
    <w:p w14:paraId="169138CF">
      <w:r>
        <w:t>Appointments with a recorded reminder have a 47.36% observed no-show rate versus 51.39% where no reminder was recorded. This is an association, not evidence that reminders caused the difference.</w:t>
      </w:r>
    </w:p>
    <w:p w14:paraId="162BEB51">
      <w:r>
        <w:drawing>
          <wp:inline distT="0" distB="0" distL="114300" distR="114300">
            <wp:extent cx="5303520" cy="3384550"/>
            <wp:effectExtent l="0" t="0" r="508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9FF2">
      <w:r>
        <w:t>6.4 Distance to clinic</w:t>
      </w:r>
    </w:p>
    <w:p w14:paraId="5AF80A92">
      <w:r>
        <w:t>The distance gradient also remains: approximately 46.45% for 0–5 km and 57.76% for 20+ km. The 20+ km group is smaller (393 records), so it should be treated as a supporting rather than standalone conclusion.</w:t>
      </w:r>
    </w:p>
    <w:p w14:paraId="3F57A534">
      <w:r>
        <w:drawing>
          <wp:inline distT="0" distB="0" distL="114300" distR="114300">
            <wp:extent cx="5577840" cy="3077845"/>
            <wp:effectExtent l="0" t="0" r="1016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4B6">
      <w:r>
        <w:t>6.5 Patient status</w:t>
      </w:r>
    </w:p>
    <w:p w14:paraId="30BECB90">
      <w:r>
        <w:t>New patients show a 42.98% observed no-show rate versus 48.74% among returning patients. This difference is smaller than the lead-time and prior-no-show effects and should not replace the stronger risk signals.</w:t>
      </w:r>
    </w:p>
    <w:p w14:paraId="70B10691">
      <w:pPr>
        <w:pStyle w:val="2"/>
      </w:pPr>
      <w:r>
        <w:t>7. Dashboard Filter &amp; Calculation Testing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3B145AF">
        <w:trPr>
          <w:jc w:val="center"/>
        </w:trPr>
        <w:tc>
          <w:tcPr>
            <w:tcW w:w="2556" w:type="dxa"/>
            <w:shd w:val="clear" w:color="auto" w:fill="163A5F"/>
            <w:vAlign w:val="center"/>
          </w:tcPr>
          <w:p w14:paraId="1447702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556" w:type="dxa"/>
            <w:shd w:val="clear" w:color="auto" w:fill="163A5F"/>
            <w:vAlign w:val="center"/>
          </w:tcPr>
          <w:p w14:paraId="62E32D9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Expected no-show rate</w:t>
            </w:r>
          </w:p>
        </w:tc>
        <w:tc>
          <w:tcPr>
            <w:tcW w:w="2556" w:type="dxa"/>
            <w:shd w:val="clear" w:color="auto" w:fill="163A5F"/>
            <w:vAlign w:val="center"/>
          </w:tcPr>
          <w:p w14:paraId="56FBE31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Actual no-show rate</w:t>
            </w:r>
          </w:p>
        </w:tc>
        <w:tc>
          <w:tcPr>
            <w:tcW w:w="2556" w:type="dxa"/>
            <w:shd w:val="clear" w:color="auto" w:fill="163A5F"/>
            <w:vAlign w:val="center"/>
          </w:tcPr>
          <w:p w14:paraId="649F84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14:paraId="73974F74">
        <w:trPr>
          <w:jc w:val="center"/>
        </w:trPr>
        <w:tc>
          <w:tcPr>
            <w:tcW w:w="2556" w:type="dxa"/>
            <w:vAlign w:val="center"/>
          </w:tcPr>
          <w:p w14:paraId="53B3783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KPI reconciliation — Repeat No-Show Rate</w:t>
            </w:r>
          </w:p>
        </w:tc>
        <w:tc>
          <w:tcPr>
            <w:tcW w:w="2556" w:type="dxa"/>
            <w:vAlign w:val="center"/>
          </w:tcPr>
          <w:p w14:paraId="1D083D17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55.41%</w:t>
            </w:r>
          </w:p>
        </w:tc>
        <w:tc>
          <w:tcPr>
            <w:tcW w:w="2556" w:type="dxa"/>
            <w:vAlign w:val="center"/>
          </w:tcPr>
          <w:p w14:paraId="2A2F18F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55.41%</w:t>
            </w:r>
          </w:p>
        </w:tc>
        <w:tc>
          <w:tcPr>
            <w:tcW w:w="2556" w:type="dxa"/>
            <w:vAlign w:val="center"/>
          </w:tcPr>
          <w:p w14:paraId="69FD718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</w:tr>
      <w:tr w14:paraId="4E26FCF9">
        <w:trPr>
          <w:jc w:val="center"/>
        </w:trPr>
        <w:tc>
          <w:tcPr>
            <w:tcW w:w="2556" w:type="dxa"/>
            <w:vAlign w:val="center"/>
          </w:tcPr>
          <w:p w14:paraId="6AFE2ED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KPI reconciliation — Average Lead Days</w:t>
            </w:r>
          </w:p>
        </w:tc>
        <w:tc>
          <w:tcPr>
            <w:tcW w:w="2556" w:type="dxa"/>
            <w:vAlign w:val="center"/>
          </w:tcPr>
          <w:p w14:paraId="3D3F652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2963.86%</w:t>
            </w:r>
          </w:p>
        </w:tc>
        <w:tc>
          <w:tcPr>
            <w:tcW w:w="2556" w:type="dxa"/>
            <w:vAlign w:val="center"/>
          </w:tcPr>
          <w:p w14:paraId="0A688D3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2963.86%</w:t>
            </w:r>
          </w:p>
        </w:tc>
        <w:tc>
          <w:tcPr>
            <w:tcW w:w="2556" w:type="dxa"/>
            <w:vAlign w:val="center"/>
          </w:tcPr>
          <w:p w14:paraId="21FE448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</w:tr>
      <w:tr w14:paraId="2FBA6FDA">
        <w:trPr>
          <w:jc w:val="center"/>
        </w:trPr>
        <w:tc>
          <w:tcPr>
            <w:tcW w:w="2556" w:type="dxa"/>
            <w:vAlign w:val="center"/>
          </w:tcPr>
          <w:p w14:paraId="444CF11B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Filter test — Lead time = 46–60 days</w:t>
            </w:r>
          </w:p>
        </w:tc>
        <w:tc>
          <w:tcPr>
            <w:tcW w:w="2556" w:type="dxa"/>
            <w:vAlign w:val="center"/>
          </w:tcPr>
          <w:p w14:paraId="54135C5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67.69%</w:t>
            </w:r>
          </w:p>
        </w:tc>
        <w:tc>
          <w:tcPr>
            <w:tcW w:w="2556" w:type="dxa"/>
            <w:vAlign w:val="center"/>
          </w:tcPr>
          <w:p w14:paraId="7287E5D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67.69%</w:t>
            </w:r>
          </w:p>
        </w:tc>
        <w:tc>
          <w:tcPr>
            <w:tcW w:w="2556" w:type="dxa"/>
            <w:vAlign w:val="center"/>
          </w:tcPr>
          <w:p w14:paraId="4D971E6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</w:tr>
      <w:tr w14:paraId="2B373B9E">
        <w:trPr>
          <w:jc w:val="center"/>
        </w:trPr>
        <w:tc>
          <w:tcPr>
            <w:tcW w:w="2556" w:type="dxa"/>
            <w:vAlign w:val="center"/>
          </w:tcPr>
          <w:p w14:paraId="5F4D3AD6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Filter test — Prior no-show &gt; 0</w:t>
            </w:r>
          </w:p>
        </w:tc>
        <w:tc>
          <w:tcPr>
            <w:tcW w:w="2556" w:type="dxa"/>
            <w:vAlign w:val="center"/>
          </w:tcPr>
          <w:p w14:paraId="6322731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55.41%</w:t>
            </w:r>
          </w:p>
        </w:tc>
        <w:tc>
          <w:tcPr>
            <w:tcW w:w="2556" w:type="dxa"/>
            <w:vAlign w:val="center"/>
          </w:tcPr>
          <w:p w14:paraId="531437A3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55.41%</w:t>
            </w:r>
          </w:p>
        </w:tc>
        <w:tc>
          <w:tcPr>
            <w:tcW w:w="2556" w:type="dxa"/>
            <w:vAlign w:val="center"/>
          </w:tcPr>
          <w:p w14:paraId="0412182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</w:tr>
      <w:tr w14:paraId="15E8EF90">
        <w:trPr>
          <w:jc w:val="center"/>
        </w:trPr>
        <w:tc>
          <w:tcPr>
            <w:tcW w:w="2556" w:type="dxa"/>
            <w:vAlign w:val="center"/>
          </w:tcPr>
          <w:p w14:paraId="27138C9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Filter test — Reminder = Yes</w:t>
            </w:r>
          </w:p>
        </w:tc>
        <w:tc>
          <w:tcPr>
            <w:tcW w:w="2556" w:type="dxa"/>
            <w:vAlign w:val="center"/>
          </w:tcPr>
          <w:p w14:paraId="307C7E9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47.36%</w:t>
            </w:r>
          </w:p>
        </w:tc>
        <w:tc>
          <w:tcPr>
            <w:tcW w:w="2556" w:type="dxa"/>
            <w:vAlign w:val="center"/>
          </w:tcPr>
          <w:p w14:paraId="6302099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47.36%</w:t>
            </w:r>
          </w:p>
        </w:tc>
        <w:tc>
          <w:tcPr>
            <w:tcW w:w="2556" w:type="dxa"/>
            <w:vAlign w:val="center"/>
          </w:tcPr>
          <w:p w14:paraId="5E5DD45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</w:tr>
      <w:tr w14:paraId="70B54126">
        <w:trPr>
          <w:jc w:val="center"/>
        </w:trPr>
        <w:tc>
          <w:tcPr>
            <w:tcW w:w="2556" w:type="dxa"/>
            <w:vAlign w:val="center"/>
          </w:tcPr>
          <w:p w14:paraId="530ED27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Filter test — Distance = 20+ km</w:t>
            </w:r>
          </w:p>
        </w:tc>
        <w:tc>
          <w:tcPr>
            <w:tcW w:w="2556" w:type="dxa"/>
            <w:vAlign w:val="center"/>
          </w:tcPr>
          <w:p w14:paraId="2148F8E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57.76%</w:t>
            </w:r>
          </w:p>
        </w:tc>
        <w:tc>
          <w:tcPr>
            <w:tcW w:w="2556" w:type="dxa"/>
            <w:vAlign w:val="center"/>
          </w:tcPr>
          <w:p w14:paraId="6794164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57.76%</w:t>
            </w:r>
          </w:p>
        </w:tc>
        <w:tc>
          <w:tcPr>
            <w:tcW w:w="2556" w:type="dxa"/>
            <w:vAlign w:val="center"/>
          </w:tcPr>
          <w:p w14:paraId="207884E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PASS</w:t>
            </w:r>
          </w:p>
        </w:tc>
      </w:tr>
    </w:tbl>
    <w:p w14:paraId="22513E89">
      <w:r>
        <w:t>These tests provide evidence that the main dashboard grouping/filter logic can reproduce the independent analytical results.</w:t>
      </w:r>
    </w:p>
    <w:p w14:paraId="4DB99E3F">
      <w:pPr>
        <w:pStyle w:val="2"/>
      </w:pPr>
      <w:r>
        <w:t>8. Refinements Made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2E8AECC">
        <w:trPr>
          <w:jc w:val="center"/>
        </w:trPr>
        <w:tc>
          <w:tcPr>
            <w:tcW w:w="3408" w:type="dxa"/>
            <w:shd w:val="clear" w:color="auto" w:fill="163A5F"/>
            <w:vAlign w:val="center"/>
          </w:tcPr>
          <w:p w14:paraId="750F5CF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3408" w:type="dxa"/>
            <w:shd w:val="clear" w:color="auto" w:fill="163A5F"/>
            <w:vAlign w:val="center"/>
          </w:tcPr>
          <w:p w14:paraId="0D85CF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Refinement</w:t>
            </w:r>
          </w:p>
        </w:tc>
        <w:tc>
          <w:tcPr>
            <w:tcW w:w="3408" w:type="dxa"/>
            <w:shd w:val="clear" w:color="auto" w:fill="163A5F"/>
            <w:vAlign w:val="center"/>
          </w:tcPr>
          <w:p w14:paraId="3E01A46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Retest</w:t>
            </w:r>
          </w:p>
        </w:tc>
      </w:tr>
      <w:tr w14:paraId="2B6F0C63">
        <w:trPr>
          <w:jc w:val="center"/>
        </w:trPr>
        <w:tc>
          <w:tcPr>
            <w:tcW w:w="3408" w:type="dxa"/>
            <w:vAlign w:val="center"/>
          </w:tcPr>
          <w:p w14:paraId="34931F5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W7-01</w:t>
            </w:r>
          </w:p>
        </w:tc>
        <w:tc>
          <w:tcPr>
            <w:tcW w:w="3408" w:type="dxa"/>
            <w:vAlign w:val="center"/>
          </w:tcPr>
          <w:p w14:paraId="39556629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Clarified KPI definitions and retained separate cancelled count; introduced Non-Cancelled No-Show Rate for operational interpretation.</w:t>
            </w:r>
          </w:p>
        </w:tc>
        <w:tc>
          <w:tcPr>
            <w:tcW w:w="3408" w:type="dxa"/>
            <w:vAlign w:val="center"/>
          </w:tcPr>
          <w:p w14:paraId="26AE8DA9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Re-test confirmed reconciled counts/rates.</w:t>
            </w:r>
          </w:p>
        </w:tc>
      </w:tr>
      <w:tr w14:paraId="58CF14DA">
        <w:trPr>
          <w:jc w:val="center"/>
        </w:trPr>
        <w:tc>
          <w:tcPr>
            <w:tcW w:w="3408" w:type="dxa"/>
            <w:vAlign w:val="center"/>
          </w:tcPr>
          <w:p w14:paraId="080C9B7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W7-02</w:t>
            </w:r>
          </w:p>
        </w:tc>
        <w:tc>
          <w:tcPr>
            <w:tcW w:w="3408" w:type="dxa"/>
            <w:vAlign w:val="center"/>
          </w:tcPr>
          <w:p w14:paraId="032503BA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Documented blanks as structurally linked to reminder_sent = No rather than treating them as ordinary missing data.</w:t>
            </w:r>
          </w:p>
        </w:tc>
        <w:tc>
          <w:tcPr>
            <w:tcW w:w="3408" w:type="dxa"/>
            <w:vAlign w:val="center"/>
          </w:tcPr>
          <w:p w14:paraId="318A5F10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Re-test confirmed 1,366 structural blanks.</w:t>
            </w:r>
          </w:p>
        </w:tc>
      </w:tr>
      <w:tr w14:paraId="55F7B628">
        <w:trPr>
          <w:jc w:val="center"/>
        </w:trPr>
        <w:tc>
          <w:tcPr>
            <w:tcW w:w="3408" w:type="dxa"/>
            <w:vAlign w:val="center"/>
          </w:tcPr>
          <w:p w14:paraId="2F4D1C6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W7-03</w:t>
            </w:r>
          </w:p>
        </w:tc>
        <w:tc>
          <w:tcPr>
            <w:tcW w:w="3408" w:type="dxa"/>
            <w:vAlign w:val="center"/>
          </w:tcPr>
          <w:p w14:paraId="006029C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Retained missing values and used an explicit Unknown category for dashboard banding where needed.</w:t>
            </w:r>
          </w:p>
        </w:tc>
        <w:tc>
          <w:tcPr>
            <w:tcW w:w="3408" w:type="dxa"/>
            <w:vAlign w:val="center"/>
          </w:tcPr>
          <w:p w14:paraId="1D16DBEC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No missing-value inflation in grouped results.</w:t>
            </w:r>
          </w:p>
        </w:tc>
      </w:tr>
      <w:tr w14:paraId="2D0530AF">
        <w:trPr>
          <w:jc w:val="center"/>
        </w:trPr>
        <w:tc>
          <w:tcPr>
            <w:tcW w:w="3408" w:type="dxa"/>
            <w:vAlign w:val="center"/>
          </w:tcPr>
          <w:p w14:paraId="1C7E2321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W7-04</w:t>
            </w:r>
          </w:p>
        </w:tc>
        <w:tc>
          <w:tcPr>
            <w:tcW w:w="3408" w:type="dxa"/>
            <w:vAlign w:val="center"/>
          </w:tcPr>
          <w:p w14:paraId="2A81F165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Use Lead Time Sort column and sort Lead Time Group by it.</w:t>
            </w:r>
          </w:p>
        </w:tc>
        <w:tc>
          <w:tcPr>
            <w:tcW w:w="3408" w:type="dxa"/>
            <w:vAlign w:val="center"/>
          </w:tcPr>
          <w:p w14:paraId="6666CC82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Visual order verified against 0–7 through 46–60.</w:t>
            </w:r>
          </w:p>
        </w:tc>
      </w:tr>
      <w:tr w14:paraId="08238917">
        <w:trPr>
          <w:jc w:val="center"/>
        </w:trPr>
        <w:tc>
          <w:tcPr>
            <w:tcW w:w="3408" w:type="dxa"/>
            <w:vAlign w:val="center"/>
          </w:tcPr>
          <w:p w14:paraId="56882CFF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W7-05</w:t>
            </w:r>
          </w:p>
        </w:tc>
        <w:tc>
          <w:tcPr>
            <w:tcW w:w="3408" w:type="dxa"/>
            <w:vAlign w:val="center"/>
          </w:tcPr>
          <w:p w14:paraId="1090E898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Reworded insights as observed associations and added validation language to recommendations.</w:t>
            </w:r>
          </w:p>
        </w:tc>
        <w:tc>
          <w:tcPr>
            <w:tcW w:w="3408" w:type="dxa"/>
            <w:vAlign w:val="center"/>
          </w:tcPr>
          <w:p w14:paraId="51DA8CD4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Final report and dashboard guidance use association-only wording.</w:t>
            </w:r>
          </w:p>
        </w:tc>
      </w:tr>
      <w:tr w14:paraId="41B644BC">
        <w:trPr>
          <w:jc w:val="center"/>
        </w:trPr>
        <w:tc>
          <w:tcPr>
            <w:tcW w:w="3408" w:type="dxa"/>
            <w:vAlign w:val="center"/>
          </w:tcPr>
          <w:p w14:paraId="5EC37BEE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W7-06</w:t>
            </w:r>
          </w:p>
        </w:tc>
        <w:tc>
          <w:tcPr>
            <w:tcW w:w="3408" w:type="dxa"/>
            <w:vAlign w:val="center"/>
          </w:tcPr>
          <w:p w14:paraId="4C5C0908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Used the existing Week 6 Data Science handoff as the cross-track reference; no new model decision is claimed.</w:t>
            </w:r>
          </w:p>
        </w:tc>
        <w:tc>
          <w:tcPr>
            <w:tcW w:w="3408" w:type="dxa"/>
            <w:vAlign w:val="center"/>
          </w:tcPr>
          <w:p w14:paraId="65CC156D">
            <w:pPr>
              <w:spacing w:after="0" w:line="240" w:lineRule="auto"/>
            </w:pPr>
            <w:r>
              <w:rPr>
                <w:b w:val="0"/>
                <w:color w:val="23303D"/>
                <w:sz w:val="17"/>
              </w:rPr>
              <w:t>Existing handoff remains the evidence base for feature-alignment discussion.</w:t>
            </w:r>
          </w:p>
        </w:tc>
      </w:tr>
    </w:tbl>
    <w:p w14:paraId="23714C3A">
      <w:pPr>
        <w:pStyle w:val="2"/>
      </w:pPr>
      <w:r>
        <w:t>9. Validated Findings for Decision Support</w:t>
      </w:r>
    </w:p>
    <w:p w14:paraId="598F8465">
      <w:pPr>
        <w:pStyle w:val="23"/>
      </w:pPr>
      <w:r>
        <w:t>Booking lead time is the strongest observed descriptive risk signal. No-show rates rise from 27.81% at 0–7 days to 67.69% at 46–60 days.</w:t>
      </w:r>
    </w:p>
    <w:p w14:paraId="63E2B12B">
      <w:pPr>
        <w:pStyle w:val="23"/>
      </w:pPr>
      <w:r>
        <w:t>Previous no-show history remains a meaningful observed signal: 55.41% versus 43.51%.</w:t>
      </w:r>
    </w:p>
    <w:p w14:paraId="13FB68ED">
      <w:pPr>
        <w:pStyle w:val="23"/>
      </w:pPr>
      <w:r>
        <w:t>Reminder recording shows a smaller 3.98 percentage-point difference: 47.36% versus 51.39%.</w:t>
      </w:r>
    </w:p>
    <w:p w14:paraId="353E6100">
      <w:pPr>
        <w:pStyle w:val="23"/>
      </w:pPr>
      <w:r>
        <w:t>Distance is a supporting access-related signal, with 57.76% at 20+ km versus 46.45% at 0–5 km.</w:t>
      </w:r>
    </w:p>
    <w:p w14:paraId="4E35659D">
      <w:pPr>
        <w:pStyle w:val="23"/>
      </w:pPr>
      <w:r>
        <w:t>Waiting time remains a weak differentiator and should not be a primary intervention target based on this descriptive evidence.</w:t>
      </w:r>
    </w:p>
    <w:p w14:paraId="3E285955">
      <w:pPr>
        <w:pStyle w:val="2"/>
      </w:pPr>
      <w:r>
        <w:t>10. Updated Recommendations</w:t>
      </w:r>
    </w:p>
    <w:p w14:paraId="152C0117">
      <w:pPr>
        <w:pStyle w:val="23"/>
      </w:pPr>
      <w:r>
        <w:t>Review appointments booked substantially in advance and test an additional engagement touchpoint closer to the appointment date.</w:t>
      </w:r>
    </w:p>
    <w:p w14:paraId="68D71754">
      <w:pPr>
        <w:pStyle w:val="23"/>
      </w:pPr>
      <w:r>
        <w:t>Prioritise support workflows for patients with previous no-show history, subject to fairness and operational monitoring.</w:t>
      </w:r>
    </w:p>
    <w:p w14:paraId="79F198BA">
      <w:pPr>
        <w:pStyle w:val="23"/>
      </w:pPr>
      <w:r>
        <w:t>Audit the 27.32% of records without a reminder to distinguish intentional non-reminder cases from incomplete recording.</w:t>
      </w:r>
    </w:p>
    <w:p w14:paraId="13C51F54">
      <w:pPr>
        <w:pStyle w:val="23"/>
      </w:pPr>
      <w:r>
        <w:t>Investigate distance-related barriers and test whether distance remains informative after adjustment for other appointment characteristics.</w:t>
      </w:r>
    </w:p>
    <w:p w14:paraId="3A463440">
      <w:pPr>
        <w:pStyle w:val="23"/>
      </w:pPr>
      <w:r>
        <w:t>Do not prioritise waiting time as a primary no-show intervention based on the current evidence.</w:t>
      </w:r>
    </w:p>
    <w:p w14:paraId="4B5E6DA5">
      <w:pPr>
        <w:pStyle w:val="2"/>
      </w:pPr>
      <w:r>
        <w:t>11. Cross-Track Testing Contribution</w:t>
      </w:r>
    </w:p>
    <w:p w14:paraId="3762BBD8">
      <w:r>
        <w:t>Week 7 did not create a new Data Science model decision. The existing Week 6 Data Analytics → Data Science handoff was used as the cross-track reference. The validated analytics were checked against the already documented candidate features: booking_lead_days, previous_no_shows, reminder_sent, reminder_channel, distance_to_clinic_km, plus the previously documented engineered variables. This supports continuity without claiming a new meeting, new decision or unverified model change.</w:t>
      </w:r>
    </w:p>
    <w:p w14:paraId="17165ABE">
      <w:pPr>
        <w:pStyle w:val="2"/>
      </w:pPr>
      <w:r>
        <w:t>12. Limitations &amp; Remaining Analytical Issues</w:t>
      </w:r>
    </w:p>
    <w:p w14:paraId="676F3AE4">
      <w:pPr>
        <w:pStyle w:val="23"/>
      </w:pPr>
      <w:r>
        <w:t>The dataset is synthetic/anonymised and should not be interpreted as a clinical population estimate.</w:t>
      </w:r>
    </w:p>
    <w:p w14:paraId="7A176EC3">
      <w:pPr>
        <w:pStyle w:val="23"/>
      </w:pPr>
      <w:r>
        <w:t>Descriptive associations do not establish causation.</w:t>
      </w:r>
    </w:p>
    <w:p w14:paraId="5B3784FE">
      <w:pPr>
        <w:pStyle w:val="23"/>
      </w:pPr>
      <w:r>
        <w:t>Reminder_channel is structurally blank when no reminder is recorded.</w:t>
      </w:r>
    </w:p>
    <w:p w14:paraId="1122D130">
      <w:pPr>
        <w:pStyle w:val="23"/>
      </w:pPr>
      <w:r>
        <w:t>Distance is missing for 90 records (1.8%); waiting time is missing for 60 records (1.2%).</w:t>
      </w:r>
    </w:p>
    <w:p w14:paraId="2516DEA9">
      <w:pPr>
        <w:pStyle w:val="23"/>
      </w:pPr>
      <w:r>
        <w:t>The 20+ km distance group is relatively small.</w:t>
      </w:r>
    </w:p>
    <w:p w14:paraId="03EC4591">
      <w:pPr>
        <w:pStyle w:val="23"/>
      </w:pPr>
      <w:r>
        <w:t>No meaningful 61+ day lead-time group is present.</w:t>
      </w:r>
    </w:p>
    <w:p w14:paraId="4A41BCC3">
      <w:pPr>
        <w:pStyle w:val="23"/>
      </w:pPr>
      <w:r>
        <w:t>No new Data Science contact or model re-test is claimed for Week 7.</w:t>
      </w:r>
    </w:p>
    <w:p w14:paraId="54D20FD5">
      <w:pPr>
        <w:pStyle w:val="2"/>
      </w:pPr>
      <w:bookmarkStart w:id="0" w:name="_GoBack"/>
      <w:bookmarkEnd w:id="0"/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3E7F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32F3E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A5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63A5F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3A5F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63A5F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Tsitsi AudreyMphisa</cp:lastModifiedBy>
  <dcterms:modified xsi:type="dcterms:W3CDTF">2026-10-02T00:24:21Z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71FB881107372CD995DDBE6AF183B6D3_42</vt:lpwstr>
  </property>
</Properties>
</file>