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44"/>
        </w:rPr>
        <w:t>HEALTHCONNECT CLINIC EXPERIENCE LAB</w:t>
      </w:r>
    </w:p>
    <w:p>
      <w:pPr>
        <w:jc w:val="center"/>
      </w:pPr>
      <w:r>
        <w:rPr>
          <w:color w:val="168A8A"/>
          <w:sz w:val="22"/>
        </w:rPr>
        <w:t>WEEK 5 • DATA ANALYTICS TRACK</w:t>
      </w:r>
    </w:p>
    <w:p>
      <w:pPr>
        <w:jc w:val="center"/>
      </w:pPr>
      <w:r>
        <w:rPr>
          <w:b/>
          <w:color w:val="2F75B5"/>
          <w:sz w:val="30"/>
        </w:rPr>
        <w:t>Exploratory Analysis, KPI Development &amp; Business Insights</w:t>
      </w:r>
    </w:p>
    <w:tbl>
      <w:tblPr>
        <w:tblW w:type="auto" w:w="0"/>
        <w:jc w:val="center"/>
        <w:tblLook w:firstColumn="1" w:firstRow="1" w:lastColumn="0" w:lastRow="0" w:noHBand="0" w:noVBand="1" w:val="04A0"/>
      </w:tblPr>
      <w:tblGrid>
        <w:gridCol w:w="10368"/>
      </w:tblGrid>
      <w:tr>
        <w:tc>
          <w:tcPr>
            <w:tcW w:type="dxa" w:w="10368"/>
            <w:shd w:fill="EAF3F8"/>
            <w:vAlign w:val="center"/>
          </w:tcPr>
          <w:p>
            <w:r/>
            <w:r>
              <w:rPr>
                <w:b w:val="0"/>
                <w:color w:val="1F2937"/>
                <w:sz w:val="18"/>
              </w:rPr>
              <w:t>Project: Improving Patient Appointment Attendance and Healthcare Support Using Data and AI | Dataset: HealthConnect Appointment Dataset | Working table: HC Appointments</w:t>
            </w:r>
          </w:p>
        </w:tc>
      </w:tr>
    </w:tbl>
    <w:p/>
    <w:p>
      <w:pPr>
        <w:pStyle w:val="Heading1"/>
      </w:pPr>
      <w:r>
        <w:rPr>
          <w:color w:val="17365D"/>
        </w:rPr>
        <w:t>1. Executive Summary</w:t>
      </w:r>
    </w:p>
    <w:p>
      <w:r>
        <w:t>Week 5 moved the HealthConnect Data Analytics work from the Week 4 planning stage into practical analysis. The analysis used the HealthConnect appointment dataset and Data Dictionary to investigate attendance and no-show patterns, calculate operational KPIs, build an interactive Power BI dashboard, and translate the observed patterns into business actions. The work remains descriptive: observed associations are not treated as proof of causation.</w:t>
      </w:r>
    </w:p>
    <w:p>
      <w:pPr>
        <w:pStyle w:val="Heading1"/>
      </w:pPr>
      <w:r>
        <w:rPr>
          <w:color w:val="17365D"/>
        </w:rPr>
        <w:t>2. Week 4 → Week 5 Transition</w:t>
      </w:r>
    </w:p>
    <w:p>
      <w:pPr>
        <w:pStyle w:val="ListBullet"/>
        <w:spacing w:after="40"/>
      </w:pPr>
      <w:r>
        <w:t>Week 4 problem: understand appointment attendance and no-show patterns so HealthConnect can reduce missed appointments and improve patient support.</w:t>
      </w:r>
    </w:p>
    <w:p>
      <w:pPr>
        <w:pStyle w:val="ListBullet"/>
        <w:spacing w:after="40"/>
      </w:pPr>
      <w:r>
        <w:t>Week 4 approach: validate the dataset, assess data quality, identify relevant variables, define business questions and propose KPIs.</w:t>
      </w:r>
    </w:p>
    <w:p>
      <w:pPr>
        <w:pStyle w:val="ListBullet"/>
        <w:spacing w:after="40"/>
      </w:pPr>
      <w:r>
        <w:t>Week 5 implementation: clean/validate the working data, perform EDA, calculate selected KPIs, build visualisations, identify insights and recommend practical next steps.</w:t>
      </w:r>
    </w:p>
    <w:p>
      <w:pPr>
        <w:pStyle w:val="ListBullet"/>
        <w:spacing w:after="40"/>
      </w:pPr>
      <w:r>
        <w:t>Key resources: HealthConnect Appointment Dataset, HealthConnect Data Dictionary and the official AnalystLab Africa Week 5 assignment.</w:t>
      </w:r>
    </w:p>
    <w:p>
      <w:pPr>
        <w:pStyle w:val="Heading1"/>
      </w:pPr>
      <w:r>
        <w:rPr>
          <w:color w:val="17365D"/>
        </w:rPr>
        <w:t>3. Data Preparation &amp; Quality Assessment</w:t>
      </w:r>
    </w:p>
    <w:p>
      <w:r>
        <w:t>The original project resource was retained unchanged. Analysis was performed using a separate working table named “HC Appointments”. Date fields were validated and the booking date was converted to a date type. The following quality findings were carried forward from the verified Week 4 profiling:</w:t>
      </w:r>
    </w:p>
    <w:tbl>
      <w:tblPr>
        <w:tblW w:type="auto" w:w="0"/>
        <w:jc w:val="center"/>
        <w:tblLook w:firstColumn="1" w:firstRow="1" w:lastColumn="0" w:lastRow="0" w:noHBand="0" w:noVBand="1" w:val="04A0"/>
      </w:tblPr>
      <w:tblGrid>
        <w:gridCol w:w="3456"/>
        <w:gridCol w:w="3456"/>
        <w:gridCol w:w="3456"/>
      </w:tblGrid>
      <w:tr>
        <w:tc>
          <w:tcPr>
            <w:tcW w:type="dxa" w:w="3456"/>
            <w:shd w:fill="17365D"/>
            <w:vAlign w:val="center"/>
          </w:tcPr>
          <w:p>
            <w:r/>
            <w:r>
              <w:rPr>
                <w:b/>
                <w:color w:val="FFFFFF"/>
                <w:sz w:val="18"/>
              </w:rPr>
              <w:t>Check</w:t>
            </w:r>
          </w:p>
        </w:tc>
        <w:tc>
          <w:tcPr>
            <w:tcW w:type="dxa" w:w="3456"/>
            <w:shd w:fill="17365D"/>
            <w:vAlign w:val="center"/>
          </w:tcPr>
          <w:p>
            <w:r/>
            <w:r>
              <w:rPr>
                <w:b/>
                <w:color w:val="FFFFFF"/>
                <w:sz w:val="18"/>
              </w:rPr>
              <w:t>Verified result</w:t>
            </w:r>
          </w:p>
        </w:tc>
        <w:tc>
          <w:tcPr>
            <w:tcW w:type="dxa" w:w="3456"/>
            <w:shd w:fill="17365D"/>
            <w:vAlign w:val="center"/>
          </w:tcPr>
          <w:p>
            <w:r/>
            <w:r>
              <w:rPr>
                <w:b/>
                <w:color w:val="FFFFFF"/>
                <w:sz w:val="18"/>
              </w:rPr>
              <w:t>Treatment / interpretation</w:t>
            </w:r>
          </w:p>
        </w:tc>
      </w:tr>
      <w:tr>
        <w:tc>
          <w:tcPr>
            <w:tcW w:type="dxa" w:w="3456"/>
            <w:shd w:fill="F5F9FC"/>
            <w:vAlign w:val="center"/>
          </w:tcPr>
          <w:p>
            <w:r/>
            <w:r>
              <w:rPr>
                <w:b w:val="0"/>
                <w:color w:val="1F2937"/>
                <w:sz w:val="17"/>
              </w:rPr>
              <w:t>Records</w:t>
            </w:r>
          </w:p>
        </w:tc>
        <w:tc>
          <w:tcPr>
            <w:tcW w:type="dxa" w:w="3456"/>
            <w:shd w:fill="F5F9FC"/>
            <w:vAlign w:val="center"/>
          </w:tcPr>
          <w:p>
            <w:r/>
            <w:r>
              <w:rPr>
                <w:b w:val="0"/>
                <w:color w:val="1F2937"/>
                <w:sz w:val="17"/>
              </w:rPr>
              <w:t>5,000</w:t>
            </w:r>
          </w:p>
        </w:tc>
        <w:tc>
          <w:tcPr>
            <w:tcW w:type="dxa" w:w="3456"/>
            <w:shd w:fill="F5F9FC"/>
            <w:vAlign w:val="center"/>
          </w:tcPr>
          <w:p>
            <w:r/>
            <w:r>
              <w:rPr>
                <w:b w:val="0"/>
                <w:color w:val="1F2937"/>
                <w:sz w:val="17"/>
              </w:rPr>
              <w:t>Used as the analysis population.</w:t>
            </w:r>
          </w:p>
        </w:tc>
      </w:tr>
      <w:tr>
        <w:tc>
          <w:tcPr>
            <w:tcW w:type="dxa" w:w="3456"/>
            <w:shd w:fill="FFFFFF"/>
            <w:vAlign w:val="center"/>
          </w:tcPr>
          <w:p>
            <w:r/>
            <w:r>
              <w:rPr>
                <w:b w:val="0"/>
                <w:color w:val="1F2937"/>
                <w:sz w:val="17"/>
              </w:rPr>
              <w:t>Variables</w:t>
            </w:r>
          </w:p>
        </w:tc>
        <w:tc>
          <w:tcPr>
            <w:tcW w:type="dxa" w:w="3456"/>
            <w:shd w:fill="FFFFFF"/>
            <w:vAlign w:val="center"/>
          </w:tcPr>
          <w:p>
            <w:r/>
            <w:r>
              <w:rPr>
                <w:b w:val="0"/>
                <w:color w:val="1F2937"/>
                <w:sz w:val="17"/>
              </w:rPr>
              <w:t>18</w:t>
            </w:r>
          </w:p>
        </w:tc>
        <w:tc>
          <w:tcPr>
            <w:tcW w:type="dxa" w:w="3456"/>
            <w:shd w:fill="FFFFFF"/>
            <w:vAlign w:val="center"/>
          </w:tcPr>
          <w:p>
            <w:r/>
            <w:r>
              <w:rPr>
                <w:b w:val="0"/>
                <w:color w:val="1F2937"/>
                <w:sz w:val="17"/>
              </w:rPr>
              <w:t>Reviewed using the Data Dictionary.</w:t>
            </w:r>
          </w:p>
        </w:tc>
      </w:tr>
      <w:tr>
        <w:tc>
          <w:tcPr>
            <w:tcW w:type="dxa" w:w="3456"/>
            <w:shd w:fill="F5F9FC"/>
            <w:vAlign w:val="center"/>
          </w:tcPr>
          <w:p>
            <w:r/>
            <w:r>
              <w:rPr>
                <w:b w:val="0"/>
                <w:color w:val="1F2937"/>
                <w:sz w:val="17"/>
              </w:rPr>
              <w:t>Unique appointment IDs</w:t>
            </w:r>
          </w:p>
        </w:tc>
        <w:tc>
          <w:tcPr>
            <w:tcW w:type="dxa" w:w="3456"/>
            <w:shd w:fill="F5F9FC"/>
            <w:vAlign w:val="center"/>
          </w:tcPr>
          <w:p>
            <w:r/>
            <w:r>
              <w:rPr>
                <w:b w:val="0"/>
                <w:color w:val="1F2937"/>
                <w:sz w:val="17"/>
              </w:rPr>
              <w:t>5,000</w:t>
            </w:r>
          </w:p>
        </w:tc>
        <w:tc>
          <w:tcPr>
            <w:tcW w:type="dxa" w:w="3456"/>
            <w:shd w:fill="F5F9FC"/>
            <w:vAlign w:val="center"/>
          </w:tcPr>
          <w:p>
            <w:r/>
            <w:r>
              <w:rPr>
                <w:b w:val="0"/>
                <w:color w:val="1F2937"/>
                <w:sz w:val="17"/>
              </w:rPr>
              <w:t>No duplicate appointment IDs identified.</w:t>
            </w:r>
          </w:p>
        </w:tc>
      </w:tr>
      <w:tr>
        <w:tc>
          <w:tcPr>
            <w:tcW w:type="dxa" w:w="3456"/>
            <w:shd w:fill="FFFFFF"/>
            <w:vAlign w:val="center"/>
          </w:tcPr>
          <w:p>
            <w:r/>
            <w:r>
              <w:rPr>
                <w:b w:val="0"/>
                <w:color w:val="1F2937"/>
                <w:sz w:val="17"/>
              </w:rPr>
              <w:t>Exact duplicate records</w:t>
            </w:r>
          </w:p>
        </w:tc>
        <w:tc>
          <w:tcPr>
            <w:tcW w:type="dxa" w:w="3456"/>
            <w:shd w:fill="FFFFFF"/>
            <w:vAlign w:val="center"/>
          </w:tcPr>
          <w:p>
            <w:r/>
            <w:r>
              <w:rPr>
                <w:b w:val="0"/>
                <w:color w:val="1F2937"/>
                <w:sz w:val="17"/>
              </w:rPr>
              <w:t>0</w:t>
            </w:r>
          </w:p>
        </w:tc>
        <w:tc>
          <w:tcPr>
            <w:tcW w:type="dxa" w:w="3456"/>
            <w:shd w:fill="FFFFFF"/>
            <w:vAlign w:val="center"/>
          </w:tcPr>
          <w:p>
            <w:r/>
            <w:r>
              <w:rPr>
                <w:b w:val="0"/>
                <w:color w:val="1F2937"/>
                <w:sz w:val="17"/>
              </w:rPr>
              <w:t>No exact duplicates identified.</w:t>
            </w:r>
          </w:p>
        </w:tc>
      </w:tr>
      <w:tr>
        <w:tc>
          <w:tcPr>
            <w:tcW w:type="dxa" w:w="3456"/>
            <w:shd w:fill="F5F9FC"/>
            <w:vAlign w:val="center"/>
          </w:tcPr>
          <w:p>
            <w:r/>
            <w:r>
              <w:rPr>
                <w:b w:val="0"/>
                <w:color w:val="1F2937"/>
                <w:sz w:val="17"/>
              </w:rPr>
              <w:t>Missing distance</w:t>
            </w:r>
          </w:p>
        </w:tc>
        <w:tc>
          <w:tcPr>
            <w:tcW w:type="dxa" w:w="3456"/>
            <w:shd w:fill="F5F9FC"/>
            <w:vAlign w:val="center"/>
          </w:tcPr>
          <w:p>
            <w:r/>
            <w:r>
              <w:rPr>
                <w:b w:val="0"/>
                <w:color w:val="1F2937"/>
                <w:sz w:val="17"/>
              </w:rPr>
              <w:t>90</w:t>
            </w:r>
          </w:p>
        </w:tc>
        <w:tc>
          <w:tcPr>
            <w:tcW w:type="dxa" w:w="3456"/>
            <w:shd w:fill="F5F9FC"/>
            <w:vAlign w:val="center"/>
          </w:tcPr>
          <w:p>
            <w:r/>
            <w:r>
              <w:rPr>
                <w:b w:val="0"/>
                <w:color w:val="1F2937"/>
                <w:sz w:val="17"/>
              </w:rPr>
              <w:t>Retain as missing; do not invent a distance.</w:t>
            </w:r>
          </w:p>
        </w:tc>
      </w:tr>
      <w:tr>
        <w:tc>
          <w:tcPr>
            <w:tcW w:type="dxa" w:w="3456"/>
            <w:shd w:fill="FFFFFF"/>
            <w:vAlign w:val="center"/>
          </w:tcPr>
          <w:p>
            <w:r/>
            <w:r>
              <w:rPr>
                <w:b w:val="0"/>
                <w:color w:val="1F2937"/>
                <w:sz w:val="17"/>
              </w:rPr>
              <w:t>Missing waiting time</w:t>
            </w:r>
          </w:p>
        </w:tc>
        <w:tc>
          <w:tcPr>
            <w:tcW w:type="dxa" w:w="3456"/>
            <w:shd w:fill="FFFFFF"/>
            <w:vAlign w:val="center"/>
          </w:tcPr>
          <w:p>
            <w:r/>
            <w:r>
              <w:rPr>
                <w:b w:val="0"/>
                <w:color w:val="1F2937"/>
                <w:sz w:val="17"/>
              </w:rPr>
              <w:t>60</w:t>
            </w:r>
          </w:p>
        </w:tc>
        <w:tc>
          <w:tcPr>
            <w:tcW w:type="dxa" w:w="3456"/>
            <w:shd w:fill="FFFFFF"/>
            <w:vAlign w:val="center"/>
          </w:tcPr>
          <w:p>
            <w:r/>
            <w:r>
              <w:rPr>
                <w:b w:val="0"/>
                <w:color w:val="1F2937"/>
                <w:sz w:val="17"/>
              </w:rPr>
              <w:t>Retain as missing; do not invent a waiting time.</w:t>
            </w:r>
          </w:p>
        </w:tc>
      </w:tr>
      <w:tr>
        <w:tc>
          <w:tcPr>
            <w:tcW w:type="dxa" w:w="3456"/>
            <w:shd w:fill="F5F9FC"/>
            <w:vAlign w:val="center"/>
          </w:tcPr>
          <w:p>
            <w:r/>
            <w:r>
              <w:rPr>
                <w:b w:val="0"/>
                <w:color w:val="1F2937"/>
                <w:sz w:val="17"/>
              </w:rPr>
              <w:t>Missing reminder channel</w:t>
            </w:r>
          </w:p>
        </w:tc>
        <w:tc>
          <w:tcPr>
            <w:tcW w:type="dxa" w:w="3456"/>
            <w:shd w:fill="F5F9FC"/>
            <w:vAlign w:val="center"/>
          </w:tcPr>
          <w:p>
            <w:r/>
            <w:r>
              <w:rPr>
                <w:b w:val="0"/>
                <w:color w:val="1F2937"/>
                <w:sz w:val="17"/>
              </w:rPr>
              <w:t>1,366</w:t>
            </w:r>
          </w:p>
        </w:tc>
        <w:tc>
          <w:tcPr>
            <w:tcW w:type="dxa" w:w="3456"/>
            <w:shd w:fill="F5F9FC"/>
            <w:vAlign w:val="center"/>
          </w:tcPr>
          <w:p>
            <w:r/>
            <w:r>
              <w:rPr>
                <w:b w:val="0"/>
                <w:color w:val="1F2937"/>
                <w:sz w:val="17"/>
              </w:rPr>
              <w:t>Structural blanks associated with no reminder; preserve the meaning.</w:t>
            </w:r>
          </w:p>
        </w:tc>
      </w:tr>
      <w:tr>
        <w:tc>
          <w:tcPr>
            <w:tcW w:type="dxa" w:w="3456"/>
            <w:shd w:fill="FFFFFF"/>
            <w:vAlign w:val="center"/>
          </w:tcPr>
          <w:p>
            <w:r/>
            <w:r>
              <w:rPr>
                <w:b w:val="0"/>
                <w:color w:val="1F2937"/>
                <w:sz w:val="17"/>
              </w:rPr>
              <w:t>Booking date after appointment date</w:t>
            </w:r>
          </w:p>
        </w:tc>
        <w:tc>
          <w:tcPr>
            <w:tcW w:type="dxa" w:w="3456"/>
            <w:shd w:fill="FFFFFF"/>
            <w:vAlign w:val="center"/>
          </w:tcPr>
          <w:p>
            <w:r/>
            <w:r>
              <w:rPr>
                <w:b w:val="0"/>
                <w:color w:val="1F2937"/>
                <w:sz w:val="17"/>
              </w:rPr>
              <w:t>0</w:t>
            </w:r>
          </w:p>
        </w:tc>
        <w:tc>
          <w:tcPr>
            <w:tcW w:type="dxa" w:w="3456"/>
            <w:shd w:fill="FFFFFF"/>
            <w:vAlign w:val="center"/>
          </w:tcPr>
          <w:p>
            <w:r/>
            <w:r>
              <w:rPr>
                <w:b w:val="0"/>
                <w:color w:val="1F2937"/>
                <w:sz w:val="17"/>
              </w:rPr>
              <w:t>No logical date-order issue found.</w:t>
            </w:r>
          </w:p>
        </w:tc>
      </w:tr>
      <w:tr>
        <w:tc>
          <w:tcPr>
            <w:tcW w:type="dxa" w:w="3456"/>
            <w:shd w:fill="F5F9FC"/>
            <w:vAlign w:val="center"/>
          </w:tcPr>
          <w:p>
            <w:r/>
            <w:r>
              <w:rPr>
                <w:b w:val="0"/>
                <w:color w:val="1F2937"/>
                <w:sz w:val="17"/>
              </w:rPr>
              <w:t>Lead-day mismatch</w:t>
            </w:r>
          </w:p>
        </w:tc>
        <w:tc>
          <w:tcPr>
            <w:tcW w:type="dxa" w:w="3456"/>
            <w:shd w:fill="F5F9FC"/>
            <w:vAlign w:val="center"/>
          </w:tcPr>
          <w:p>
            <w:r/>
            <w:r>
              <w:rPr>
                <w:b w:val="0"/>
                <w:color w:val="1F2937"/>
                <w:sz w:val="17"/>
              </w:rPr>
              <w:t>0</w:t>
            </w:r>
          </w:p>
        </w:tc>
        <w:tc>
          <w:tcPr>
            <w:tcW w:type="dxa" w:w="3456"/>
            <w:shd w:fill="F5F9FC"/>
            <w:vAlign w:val="center"/>
          </w:tcPr>
          <w:p>
            <w:r/>
            <w:r>
              <w:rPr>
                <w:b w:val="0"/>
                <w:color w:val="1F2937"/>
                <w:sz w:val="17"/>
              </w:rPr>
              <w:t>Booking lead days agree with the date difference.</w:t>
            </w:r>
          </w:p>
        </w:tc>
      </w:tr>
      <w:tr>
        <w:tc>
          <w:tcPr>
            <w:tcW w:type="dxa" w:w="3456"/>
            <w:shd w:fill="FFFFFF"/>
            <w:vAlign w:val="center"/>
          </w:tcPr>
          <w:p>
            <w:r/>
            <w:r>
              <w:rPr>
                <w:b w:val="0"/>
                <w:color w:val="1F2937"/>
                <w:sz w:val="17"/>
              </w:rPr>
              <w:t>Previous no-shows &gt; previous appointments</w:t>
            </w:r>
          </w:p>
        </w:tc>
        <w:tc>
          <w:tcPr>
            <w:tcW w:type="dxa" w:w="3456"/>
            <w:shd w:fill="FFFFFF"/>
            <w:vAlign w:val="center"/>
          </w:tcPr>
          <w:p>
            <w:r/>
            <w:r>
              <w:rPr>
                <w:b w:val="0"/>
                <w:color w:val="1F2937"/>
                <w:sz w:val="17"/>
              </w:rPr>
              <w:t>0</w:t>
            </w:r>
          </w:p>
        </w:tc>
        <w:tc>
          <w:tcPr>
            <w:tcW w:type="dxa" w:w="3456"/>
            <w:shd w:fill="FFFFFF"/>
            <w:vAlign w:val="center"/>
          </w:tcPr>
          <w:p>
            <w:r/>
            <w:r>
              <w:rPr>
                <w:b w:val="0"/>
                <w:color w:val="1F2937"/>
                <w:sz w:val="17"/>
              </w:rPr>
              <w:t>No impossible history counts identified.</w:t>
            </w:r>
          </w:p>
        </w:tc>
      </w:tr>
    </w:tbl>
    <w:p>
      <w:pPr>
        <w:pStyle w:val="Heading1"/>
      </w:pPr>
      <w:r>
        <w:rPr>
          <w:color w:val="17365D"/>
        </w:rPr>
        <w:t>4. Exploratory Data Analysis</w:t>
      </w:r>
    </w:p>
    <w:p>
      <w:r>
        <w:t>The EDA focused on the business questions established in Week 4: overall outcomes, booking behaviour, previous no-show history, reminder coverage, appointment characteristics, and operational factors. The dashboard was designed to let the user filter and cross-check these relationships rather than rely on a single headline number.</w:t>
      </w:r>
    </w:p>
    <w:p>
      <w:pPr>
        <w:pStyle w:val="Heading2"/>
      </w:pPr>
      <w:r>
        <w:rPr>
          <w:color w:val="2F75B5"/>
        </w:rPr>
        <w:t>4.1 Verified outcome profile</w:t>
      </w:r>
    </w:p>
    <w:tbl>
      <w:tblPr>
        <w:tblW w:type="auto" w:w="0"/>
        <w:jc w:val="center"/>
        <w:tblLook w:firstColumn="1" w:firstRow="1" w:lastColumn="0" w:lastRow="0" w:noHBand="0" w:noVBand="1" w:val="04A0"/>
      </w:tblPr>
      <w:tblGrid>
        <w:gridCol w:w="3456"/>
        <w:gridCol w:w="3456"/>
        <w:gridCol w:w="3456"/>
      </w:tblGrid>
      <w:tr>
        <w:tc>
          <w:tcPr>
            <w:tcW w:type="dxa" w:w="3456"/>
            <w:shd w:fill="2F75B5"/>
            <w:vAlign w:val="center"/>
          </w:tcPr>
          <w:p>
            <w:r/>
            <w:r>
              <w:rPr>
                <w:b/>
                <w:color w:val="FFFFFF"/>
                <w:sz w:val="18"/>
              </w:rPr>
              <w:t>Outcome</w:t>
            </w:r>
          </w:p>
        </w:tc>
        <w:tc>
          <w:tcPr>
            <w:tcW w:type="dxa" w:w="3456"/>
            <w:shd w:fill="2F75B5"/>
            <w:vAlign w:val="center"/>
          </w:tcPr>
          <w:p>
            <w:r/>
            <w:r>
              <w:rPr>
                <w:b/>
                <w:color w:val="FFFFFF"/>
                <w:sz w:val="18"/>
              </w:rPr>
              <w:t>Count</w:t>
            </w:r>
          </w:p>
        </w:tc>
        <w:tc>
          <w:tcPr>
            <w:tcW w:type="dxa" w:w="3456"/>
            <w:shd w:fill="2F75B5"/>
            <w:vAlign w:val="center"/>
          </w:tcPr>
          <w:p>
            <w:r/>
            <w:r>
              <w:rPr>
                <w:b/>
                <w:color w:val="FFFFFF"/>
                <w:sz w:val="18"/>
              </w:rPr>
              <w:t>Share</w:t>
            </w:r>
          </w:p>
        </w:tc>
      </w:tr>
      <w:tr>
        <w:tc>
          <w:tcPr>
            <w:tcW w:type="dxa" w:w="3456"/>
            <w:shd w:fill="FFFFFF"/>
            <w:vAlign w:val="center"/>
          </w:tcPr>
          <w:p>
            <w:r/>
            <w:r>
              <w:rPr>
                <w:b w:val="0"/>
                <w:color w:val="1F2937"/>
                <w:sz w:val="18"/>
              </w:rPr>
              <w:t>No-Show</w:t>
            </w:r>
          </w:p>
        </w:tc>
        <w:tc>
          <w:tcPr>
            <w:tcW w:type="dxa" w:w="3456"/>
            <w:shd w:fill="FFFFFF"/>
            <w:vAlign w:val="center"/>
          </w:tcPr>
          <w:p>
            <w:r/>
            <w:r>
              <w:rPr>
                <w:b w:val="0"/>
                <w:color w:val="1F2937"/>
                <w:sz w:val="18"/>
              </w:rPr>
              <w:t>2,423</w:t>
            </w:r>
          </w:p>
        </w:tc>
        <w:tc>
          <w:tcPr>
            <w:tcW w:type="dxa" w:w="3456"/>
            <w:shd w:fill="FFFFFF"/>
            <w:vAlign w:val="center"/>
          </w:tcPr>
          <w:p>
            <w:r/>
            <w:r>
              <w:rPr>
                <w:b w:val="0"/>
                <w:color w:val="1F2937"/>
                <w:sz w:val="18"/>
              </w:rPr>
              <w:t>48.46%</w:t>
            </w:r>
          </w:p>
        </w:tc>
      </w:tr>
      <w:tr>
        <w:tc>
          <w:tcPr>
            <w:tcW w:type="dxa" w:w="3456"/>
            <w:shd w:fill="FFFFFF"/>
            <w:vAlign w:val="center"/>
          </w:tcPr>
          <w:p>
            <w:r/>
            <w:r>
              <w:rPr>
                <w:b w:val="0"/>
                <w:color w:val="1F2937"/>
                <w:sz w:val="18"/>
              </w:rPr>
              <w:t>Attended</w:t>
            </w:r>
          </w:p>
        </w:tc>
        <w:tc>
          <w:tcPr>
            <w:tcW w:type="dxa" w:w="3456"/>
            <w:shd w:fill="FFFFFF"/>
            <w:vAlign w:val="center"/>
          </w:tcPr>
          <w:p>
            <w:r/>
            <w:r>
              <w:rPr>
                <w:b w:val="0"/>
                <w:color w:val="1F2937"/>
                <w:sz w:val="18"/>
              </w:rPr>
              <w:t>2,314</w:t>
            </w:r>
          </w:p>
        </w:tc>
        <w:tc>
          <w:tcPr>
            <w:tcW w:type="dxa" w:w="3456"/>
            <w:shd w:fill="FFFFFF"/>
            <w:vAlign w:val="center"/>
          </w:tcPr>
          <w:p>
            <w:r/>
            <w:r>
              <w:rPr>
                <w:b w:val="0"/>
                <w:color w:val="1F2937"/>
                <w:sz w:val="18"/>
              </w:rPr>
              <w:t>46.28%</w:t>
            </w:r>
          </w:p>
        </w:tc>
      </w:tr>
      <w:tr>
        <w:tc>
          <w:tcPr>
            <w:tcW w:type="dxa" w:w="3456"/>
            <w:shd w:fill="FFFFFF"/>
            <w:vAlign w:val="center"/>
          </w:tcPr>
          <w:p>
            <w:r/>
            <w:r>
              <w:rPr>
                <w:b w:val="0"/>
                <w:color w:val="1F2937"/>
                <w:sz w:val="18"/>
              </w:rPr>
              <w:t>Cancelled</w:t>
            </w:r>
          </w:p>
        </w:tc>
        <w:tc>
          <w:tcPr>
            <w:tcW w:type="dxa" w:w="3456"/>
            <w:shd w:fill="FFFFFF"/>
            <w:vAlign w:val="center"/>
          </w:tcPr>
          <w:p>
            <w:r/>
            <w:r>
              <w:rPr>
                <w:b w:val="0"/>
                <w:color w:val="1F2937"/>
                <w:sz w:val="18"/>
              </w:rPr>
              <w:t>263</w:t>
            </w:r>
          </w:p>
        </w:tc>
        <w:tc>
          <w:tcPr>
            <w:tcW w:type="dxa" w:w="3456"/>
            <w:shd w:fill="FFFFFF"/>
            <w:vAlign w:val="center"/>
          </w:tcPr>
          <w:p>
            <w:r/>
            <w:r>
              <w:rPr>
                <w:b w:val="0"/>
                <w:color w:val="1F2937"/>
                <w:sz w:val="18"/>
              </w:rPr>
              <w:t>5.26%</w:t>
            </w:r>
          </w:p>
        </w:tc>
      </w:tr>
    </w:tbl>
    <w:p>
      <w:pPr>
        <w:pStyle w:val="Heading2"/>
      </w:pPr>
      <w:r>
        <w:rPr>
          <w:color w:val="2F75B5"/>
        </w:rPr>
        <w:t>4.2 Key observed relationships</w:t>
      </w:r>
    </w:p>
    <w:p>
      <w:pPr>
        <w:pStyle w:val="ListBullet"/>
        <w:spacing w:after="40"/>
      </w:pPr>
      <w:r>
        <w:t>Overall no-show rate is 48.46%, meaning missed appointments are a major operational issue in this synthetic dataset.</w:t>
      </w:r>
    </w:p>
    <w:p>
      <w:pPr>
        <w:pStyle w:val="ListBullet"/>
        <w:spacing w:after="40"/>
      </w:pPr>
      <w:r>
        <w:t>No-show rate increases across booking-lead groups, from 27.81% for 0–7 days to 67.69% for 46–60 days.</w:t>
      </w:r>
    </w:p>
    <w:p>
      <w:pPr>
        <w:pStyle w:val="ListBullet"/>
        <w:spacing w:after="40"/>
      </w:pPr>
      <w:r>
        <w:t>Patients with at least one previous no-show show a 55.41% observed no-show rate, compared with 43.51% among patients with no previous no-shows.</w:t>
      </w:r>
    </w:p>
    <w:p>
      <w:pPr>
        <w:pStyle w:val="ListBullet"/>
        <w:spacing w:after="40"/>
      </w:pPr>
      <w:r>
        <w:t>Appointments with a recorded reminder show a 47.36% observed no-show rate compared with 51.39% where no reminder was recorded.</w:t>
      </w:r>
    </w:p>
    <w:p>
      <w:pPr>
        <w:pStyle w:val="ListBullet"/>
        <w:spacing w:after="40"/>
      </w:pPr>
      <w:r>
        <w:t>The reminder-channel field contains structural blanks where no reminder was sent; those blanks should not be treated as ordinary missing demographic data.</w:t>
      </w:r>
    </w:p>
    <w:p>
      <w:pPr>
        <w:pStyle w:val="ListBullet"/>
        <w:spacing w:after="40"/>
      </w:pPr>
      <w:r>
        <w:t>Distance and waiting time should be interpreted with the documented missing values in mind.</w:t>
      </w:r>
    </w:p>
    <w:tbl>
      <w:tblPr>
        <w:tblW w:type="auto" w:w="0"/>
        <w:jc w:val="center"/>
        <w:tblLook w:firstColumn="1" w:firstRow="1" w:lastColumn="0" w:lastRow="0" w:noHBand="0" w:noVBand="1" w:val="04A0"/>
      </w:tblPr>
      <w:tblGrid>
        <w:gridCol w:w="10368"/>
      </w:tblGrid>
      <w:tr>
        <w:tc>
          <w:tcPr>
            <w:tcW w:type="dxa" w:w="10368"/>
            <w:shd w:fill="EAF3F8"/>
            <w:vAlign w:val="center"/>
          </w:tcPr>
          <w:p>
            <w:r/>
            <w:r>
              <w:rPr>
                <w:b w:val="0"/>
                <w:color w:val="1F2937"/>
                <w:sz w:val="18"/>
              </w:rPr>
              <w:t>Interpretation rule: these are descriptive associations in a fictional, synthetic dataset. They do not establish that lead time, reminders or previous no-shows cause attendance behaviour.</w:t>
            </w:r>
          </w:p>
        </w:tc>
      </w:tr>
    </w:tbl>
    <w:p/>
    <w:p>
      <w:pPr>
        <w:pStyle w:val="Heading1"/>
      </w:pPr>
      <w:r>
        <w:rPr>
          <w:color w:val="17365D"/>
        </w:rPr>
        <w:t>5. KPI Development</w:t>
      </w:r>
    </w:p>
    <w:tbl>
      <w:tblPr>
        <w:tblW w:type="auto" w:w="0"/>
        <w:jc w:val="center"/>
        <w:tblLook w:firstColumn="1" w:firstRow="1" w:lastColumn="0" w:lastRow="0" w:noHBand="0" w:noVBand="1" w:val="04A0"/>
      </w:tblPr>
      <w:tblGrid>
        <w:gridCol w:w="2074"/>
        <w:gridCol w:w="2074"/>
        <w:gridCol w:w="2074"/>
        <w:gridCol w:w="2074"/>
        <w:gridCol w:w="2074"/>
      </w:tblGrid>
      <w:tr>
        <w:tc>
          <w:tcPr>
            <w:tcW w:type="dxa" w:w="2074"/>
            <w:shd w:fill="17365D"/>
            <w:vAlign w:val="center"/>
          </w:tcPr>
          <w:p>
            <w:r/>
            <w:r>
              <w:rPr>
                <w:b/>
                <w:color w:val="FFFFFF"/>
                <w:sz w:val="16"/>
              </w:rPr>
              <w:t>KPI</w:t>
            </w:r>
          </w:p>
        </w:tc>
        <w:tc>
          <w:tcPr>
            <w:tcW w:type="dxa" w:w="2074"/>
            <w:shd w:fill="17365D"/>
            <w:vAlign w:val="center"/>
          </w:tcPr>
          <w:p>
            <w:r/>
            <w:r>
              <w:rPr>
                <w:b/>
                <w:color w:val="FFFFFF"/>
                <w:sz w:val="16"/>
              </w:rPr>
              <w:t>Definition</w:t>
            </w:r>
          </w:p>
        </w:tc>
        <w:tc>
          <w:tcPr>
            <w:tcW w:type="dxa" w:w="2074"/>
            <w:shd w:fill="17365D"/>
            <w:vAlign w:val="center"/>
          </w:tcPr>
          <w:p>
            <w:r/>
            <w:r>
              <w:rPr>
                <w:b/>
                <w:color w:val="FFFFFF"/>
                <w:sz w:val="16"/>
              </w:rPr>
              <w:t>Result</w:t>
            </w:r>
          </w:p>
        </w:tc>
        <w:tc>
          <w:tcPr>
            <w:tcW w:type="dxa" w:w="2074"/>
            <w:shd w:fill="17365D"/>
            <w:vAlign w:val="center"/>
          </w:tcPr>
          <w:p>
            <w:r/>
            <w:r>
              <w:rPr>
                <w:b/>
                <w:color w:val="FFFFFF"/>
                <w:sz w:val="16"/>
              </w:rPr>
              <w:t>Business question</w:t>
            </w:r>
          </w:p>
        </w:tc>
        <w:tc>
          <w:tcPr>
            <w:tcW w:type="dxa" w:w="2074"/>
            <w:shd w:fill="17365D"/>
            <w:vAlign w:val="center"/>
          </w:tcPr>
          <w:p>
            <w:r/>
            <w:r>
              <w:rPr>
                <w:b/>
                <w:color w:val="FFFFFF"/>
                <w:sz w:val="16"/>
              </w:rPr>
              <w:t>Interpretation</w:t>
            </w:r>
          </w:p>
        </w:tc>
      </w:tr>
      <w:tr>
        <w:tc>
          <w:tcPr>
            <w:tcW w:type="dxa" w:w="2074"/>
            <w:shd w:fill="FFFFFF"/>
            <w:vAlign w:val="center"/>
          </w:tcPr>
          <w:p>
            <w:r/>
            <w:r>
              <w:rPr>
                <w:b w:val="0"/>
                <w:color w:val="1F2937"/>
                <w:sz w:val="15"/>
              </w:rPr>
              <w:t>No-Show Rate</w:t>
            </w:r>
          </w:p>
        </w:tc>
        <w:tc>
          <w:tcPr>
            <w:tcW w:type="dxa" w:w="2074"/>
            <w:shd w:fill="FFFFFF"/>
            <w:vAlign w:val="center"/>
          </w:tcPr>
          <w:p>
            <w:r/>
            <w:r>
              <w:rPr>
                <w:b w:val="0"/>
                <w:color w:val="1F2937"/>
                <w:sz w:val="15"/>
              </w:rPr>
              <w:t>No-show appointments ÷ all appointments</w:t>
            </w:r>
          </w:p>
        </w:tc>
        <w:tc>
          <w:tcPr>
            <w:tcW w:type="dxa" w:w="2074"/>
            <w:shd w:fill="FFFFFF"/>
            <w:vAlign w:val="center"/>
          </w:tcPr>
          <w:p>
            <w:r/>
            <w:r>
              <w:rPr>
                <w:b w:val="0"/>
                <w:color w:val="1F2937"/>
                <w:sz w:val="15"/>
              </w:rPr>
              <w:t>48.46%</w:t>
            </w:r>
          </w:p>
        </w:tc>
        <w:tc>
          <w:tcPr>
            <w:tcW w:type="dxa" w:w="2074"/>
            <w:shd w:fill="FFFFFF"/>
            <w:vAlign w:val="center"/>
          </w:tcPr>
          <w:p>
            <w:r/>
            <w:r>
              <w:rPr>
                <w:b w:val="0"/>
                <w:color w:val="1F2937"/>
                <w:sz w:val="15"/>
              </w:rPr>
              <w:t>How large is the missed-appointment problem?</w:t>
            </w:r>
          </w:p>
        </w:tc>
        <w:tc>
          <w:tcPr>
            <w:tcW w:type="dxa" w:w="2074"/>
            <w:shd w:fill="FFFFFF"/>
            <w:vAlign w:val="center"/>
          </w:tcPr>
          <w:p>
            <w:r/>
            <w:r>
              <w:rPr>
                <w:b w:val="0"/>
                <w:color w:val="1F2937"/>
                <w:sz w:val="15"/>
              </w:rPr>
              <w:t>Missed appointments represent almost half of recorded appointments.</w:t>
            </w:r>
          </w:p>
        </w:tc>
      </w:tr>
      <w:tr>
        <w:tc>
          <w:tcPr>
            <w:tcW w:type="dxa" w:w="2074"/>
            <w:shd w:fill="FFFFFF"/>
            <w:vAlign w:val="center"/>
          </w:tcPr>
          <w:p>
            <w:r/>
            <w:r>
              <w:rPr>
                <w:b w:val="0"/>
                <w:color w:val="1F2937"/>
                <w:sz w:val="15"/>
              </w:rPr>
              <w:t>Attendance Rate</w:t>
            </w:r>
          </w:p>
        </w:tc>
        <w:tc>
          <w:tcPr>
            <w:tcW w:type="dxa" w:w="2074"/>
            <w:shd w:fill="FFFFFF"/>
            <w:vAlign w:val="center"/>
          </w:tcPr>
          <w:p>
            <w:r/>
            <w:r>
              <w:rPr>
                <w:b w:val="0"/>
                <w:color w:val="1F2937"/>
                <w:sz w:val="15"/>
              </w:rPr>
              <w:t>Attended appointments ÷ all appointments</w:t>
            </w:r>
          </w:p>
        </w:tc>
        <w:tc>
          <w:tcPr>
            <w:tcW w:type="dxa" w:w="2074"/>
            <w:shd w:fill="FFFFFF"/>
            <w:vAlign w:val="center"/>
          </w:tcPr>
          <w:p>
            <w:r/>
            <w:r>
              <w:rPr>
                <w:b w:val="0"/>
                <w:color w:val="1F2937"/>
                <w:sz w:val="15"/>
              </w:rPr>
              <w:t>46.28%</w:t>
            </w:r>
          </w:p>
        </w:tc>
        <w:tc>
          <w:tcPr>
            <w:tcW w:type="dxa" w:w="2074"/>
            <w:shd w:fill="FFFFFF"/>
            <w:vAlign w:val="center"/>
          </w:tcPr>
          <w:p>
            <w:r/>
            <w:r>
              <w:rPr>
                <w:b w:val="0"/>
                <w:color w:val="1F2937"/>
                <w:sz w:val="15"/>
              </w:rPr>
              <w:t>How successfully are booked appointments completed?</w:t>
            </w:r>
          </w:p>
        </w:tc>
        <w:tc>
          <w:tcPr>
            <w:tcW w:type="dxa" w:w="2074"/>
            <w:shd w:fill="FFFFFF"/>
            <w:vAlign w:val="center"/>
          </w:tcPr>
          <w:p>
            <w:r/>
            <w:r>
              <w:rPr>
                <w:b w:val="0"/>
                <w:color w:val="1F2937"/>
                <w:sz w:val="15"/>
              </w:rPr>
              <w:t>Less than half of appointments were attended in the dataset.</w:t>
            </w:r>
          </w:p>
        </w:tc>
      </w:tr>
      <w:tr>
        <w:tc>
          <w:tcPr>
            <w:tcW w:type="dxa" w:w="2074"/>
            <w:shd w:fill="FFFFFF"/>
            <w:vAlign w:val="center"/>
          </w:tcPr>
          <w:p>
            <w:r/>
            <w:r>
              <w:rPr>
                <w:b w:val="0"/>
                <w:color w:val="1F2937"/>
                <w:sz w:val="15"/>
              </w:rPr>
              <w:t>Reminder Coverage Rate</w:t>
            </w:r>
          </w:p>
        </w:tc>
        <w:tc>
          <w:tcPr>
            <w:tcW w:type="dxa" w:w="2074"/>
            <w:shd w:fill="FFFFFF"/>
            <w:vAlign w:val="center"/>
          </w:tcPr>
          <w:p>
            <w:r/>
            <w:r>
              <w:rPr>
                <w:b w:val="0"/>
                <w:color w:val="1F2937"/>
                <w:sz w:val="15"/>
              </w:rPr>
              <w:t>Appointments with a recorded reminder ÷ all appointments</w:t>
            </w:r>
          </w:p>
        </w:tc>
        <w:tc>
          <w:tcPr>
            <w:tcW w:type="dxa" w:w="2074"/>
            <w:shd w:fill="FFFFFF"/>
            <w:vAlign w:val="center"/>
          </w:tcPr>
          <w:p>
            <w:r/>
            <w:r>
              <w:rPr>
                <w:b w:val="0"/>
                <w:color w:val="1F2937"/>
                <w:sz w:val="15"/>
              </w:rPr>
              <w:t>72.7%</w:t>
            </w:r>
          </w:p>
        </w:tc>
        <w:tc>
          <w:tcPr>
            <w:tcW w:type="dxa" w:w="2074"/>
            <w:shd w:fill="FFFFFF"/>
            <w:vAlign w:val="center"/>
          </w:tcPr>
          <w:p>
            <w:r/>
            <w:r>
              <w:rPr>
                <w:b w:val="0"/>
                <w:color w:val="1F2937"/>
                <w:sz w:val="15"/>
              </w:rPr>
              <w:t>How widely is the reminder process reaching appointments?</w:t>
            </w:r>
          </w:p>
        </w:tc>
        <w:tc>
          <w:tcPr>
            <w:tcW w:type="dxa" w:w="2074"/>
            <w:shd w:fill="FFFFFF"/>
            <w:vAlign w:val="center"/>
          </w:tcPr>
          <w:p>
            <w:r/>
            <w:r>
              <w:rPr>
                <w:b w:val="0"/>
                <w:color w:val="1F2937"/>
                <w:sz w:val="15"/>
              </w:rPr>
              <w:t>Most appointments had a reminder recorded, leaving a meaningful uncovered group.</w:t>
            </w:r>
          </w:p>
        </w:tc>
      </w:tr>
      <w:tr>
        <w:tc>
          <w:tcPr>
            <w:tcW w:type="dxa" w:w="2074"/>
            <w:shd w:fill="FFFFFF"/>
            <w:vAlign w:val="center"/>
          </w:tcPr>
          <w:p>
            <w:r/>
            <w:r>
              <w:rPr>
                <w:b w:val="0"/>
                <w:color w:val="1F2937"/>
                <w:sz w:val="15"/>
              </w:rPr>
              <w:t>Repeat No-Show Rate</w:t>
            </w:r>
          </w:p>
        </w:tc>
        <w:tc>
          <w:tcPr>
            <w:tcW w:type="dxa" w:w="2074"/>
            <w:shd w:fill="FFFFFF"/>
            <w:vAlign w:val="center"/>
          </w:tcPr>
          <w:p>
            <w:r/>
            <w:r>
              <w:rPr>
                <w:b w:val="0"/>
                <w:color w:val="1F2937"/>
                <w:sz w:val="15"/>
              </w:rPr>
              <w:t>No-show rate among records with previous no-show history</w:t>
            </w:r>
          </w:p>
        </w:tc>
        <w:tc>
          <w:tcPr>
            <w:tcW w:type="dxa" w:w="2074"/>
            <w:shd w:fill="FFFFFF"/>
            <w:vAlign w:val="center"/>
          </w:tcPr>
          <w:p>
            <w:r/>
            <w:r>
              <w:rPr>
                <w:b w:val="0"/>
                <w:color w:val="1F2937"/>
                <w:sz w:val="15"/>
              </w:rPr>
              <w:t>55.41%</w:t>
            </w:r>
          </w:p>
        </w:tc>
        <w:tc>
          <w:tcPr>
            <w:tcW w:type="dxa" w:w="2074"/>
            <w:shd w:fill="FFFFFF"/>
            <w:vAlign w:val="center"/>
          </w:tcPr>
          <w:p>
            <w:r/>
            <w:r>
              <w:rPr>
                <w:b w:val="0"/>
                <w:color w:val="1F2937"/>
                <w:sz w:val="15"/>
              </w:rPr>
              <w:t>Do previous missed appointments identify a higher-risk group?</w:t>
            </w:r>
          </w:p>
        </w:tc>
        <w:tc>
          <w:tcPr>
            <w:tcW w:type="dxa" w:w="2074"/>
            <w:shd w:fill="FFFFFF"/>
            <w:vAlign w:val="center"/>
          </w:tcPr>
          <w:p>
            <w:r/>
            <w:r>
              <w:rPr>
                <w:b w:val="0"/>
                <w:color w:val="1F2937"/>
                <w:sz w:val="15"/>
              </w:rPr>
              <w:t>The repeat-history group has a higher observed no-show rate.</w:t>
            </w:r>
          </w:p>
        </w:tc>
      </w:tr>
    </w:tbl>
    <w:p>
      <w:pPr>
        <w:pStyle w:val="Heading1"/>
      </w:pPr>
      <w:r>
        <w:rPr>
          <w:color w:val="17365D"/>
        </w:rPr>
        <w:t>6. Dashboard / Analytical Visualisation</w:t>
      </w:r>
    </w:p>
    <w:p>
      <w:r>
        <w:t>The Power BI dashboard is organised into three analytical pages so the report tells a clear story rather than repeating Week 4.</w:t>
      </w:r>
    </w:p>
    <w:p>
      <w:pPr>
        <w:pStyle w:val="ListBullet"/>
        <w:spacing w:after="40"/>
      </w:pPr>
      <w:r>
        <w:t>Page 1 — Executive Overview: KPI cards plus high-level charts for no-show behaviour, reminders, appointment time/type and a small set of interactive slicers.</w:t>
      </w:r>
    </w:p>
    <w:p>
      <w:pPr>
        <w:pStyle w:val="ListBullet"/>
        <w:spacing w:after="40"/>
      </w:pPr>
      <w:r>
        <w:t>Page 2 — Appointment &amp; Risk Analysis: booking lead days, previous no-show history and other appointment-level risk patterns.</w:t>
      </w:r>
    </w:p>
    <w:p>
      <w:pPr>
        <w:pStyle w:val="ListBullet"/>
        <w:spacing w:after="40"/>
      </w:pPr>
      <w:r>
        <w:t>Page 3 — Customer/Regional &amp; Reminder Analysis: reminder status/channel, appointment outcomes and supporting segmentation views.</w:t>
      </w:r>
    </w:p>
    <w:tbl>
      <w:tblPr>
        <w:tblW w:type="auto" w:w="0"/>
        <w:jc w:val="center"/>
        <w:tblLook w:firstColumn="1" w:firstRow="1" w:lastColumn="0" w:lastRow="0" w:noHBand="0" w:noVBand="1" w:val="04A0"/>
      </w:tblPr>
      <w:tblGrid>
        <w:gridCol w:w="10368"/>
      </w:tblGrid>
      <w:tr>
        <w:tc>
          <w:tcPr>
            <w:tcW w:type="dxa" w:w="10368"/>
            <w:shd w:fill="EAF3F8"/>
            <w:vAlign w:val="center"/>
          </w:tcPr>
          <w:p>
            <w:r/>
            <w:r>
              <w:rPr>
                <w:b w:val="0"/>
                <w:color w:val="1F2937"/>
                <w:sz w:val="18"/>
              </w:rPr>
              <w:t>Dashboard design principle: keep one analytical question per visual, use consistent colours, avoid unnecessary legends, and keep titles explicit about the metric being shown.</w:t>
            </w:r>
          </w:p>
        </w:tc>
      </w:tr>
    </w:tbl>
    <w:p/>
    <w:p>
      <w:pPr>
        <w:pStyle w:val="Heading1"/>
      </w:pPr>
      <w:r>
        <w:rPr>
          <w:color w:val="17365D"/>
        </w:rPr>
        <w:t>7. Key Business Insights</w:t>
      </w:r>
    </w:p>
    <w:p>
      <w:pPr>
        <w:pStyle w:val="ListBullet"/>
        <w:spacing w:after="40"/>
      </w:pPr>
      <w:r>
        <w:t>No-shows are a major operational issue: 48.46% of appointments were recorded as No-Show.</w:t>
      </w:r>
    </w:p>
    <w:p>
      <w:pPr>
        <w:pStyle w:val="ListBullet"/>
        <w:spacing w:after="40"/>
      </w:pPr>
      <w:r>
        <w:t>Longer booking lead times are associated with higher no-show rates; the observed rate reaches 67.69% in the 46–60 day group.</w:t>
      </w:r>
    </w:p>
    <w:p>
      <w:pPr>
        <w:pStyle w:val="ListBullet"/>
        <w:spacing w:after="40"/>
      </w:pPr>
      <w:r>
        <w:t>Previous no-show history identifies a higher-risk group: 55.41% versus 43.51% among patients without previous no-shows.</w:t>
      </w:r>
    </w:p>
    <w:p>
      <w:pPr>
        <w:pStyle w:val="ListBullet"/>
        <w:spacing w:after="40"/>
      </w:pPr>
      <w:r>
        <w:t>Reminder coverage is high at 72.7%, and the observed no-show rate is lower for appointments with a recorded reminder than for those without one.</w:t>
      </w:r>
    </w:p>
    <w:p>
      <w:pPr>
        <w:pStyle w:val="ListBullet"/>
        <w:spacing w:after="40"/>
      </w:pPr>
      <w:r>
        <w:t>The combination of booking lead time and previous no-show history provides a practical basis for targeted monitoring in later project stages.</w:t>
      </w:r>
    </w:p>
    <w:p>
      <w:pPr>
        <w:pStyle w:val="Heading1"/>
      </w:pPr>
      <w:r>
        <w:rPr>
          <w:color w:val="17365D"/>
        </w:rPr>
        <w:t>8. Business Recommendations</w:t>
      </w:r>
    </w:p>
    <w:p>
      <w:pPr>
        <w:pStyle w:val="ListBullet"/>
        <w:spacing w:after="40"/>
      </w:pPr>
      <w:r>
        <w:t>Prioritise follow-up for patients with previous no-shows.</w:t>
      </w:r>
    </w:p>
    <w:p>
      <w:pPr>
        <w:pStyle w:val="ListBullet"/>
        <w:spacing w:after="40"/>
      </w:pPr>
      <w:r>
        <w:t>Review appointments booked far in advance and consider additional engagement closer to the appointment date.</w:t>
      </w:r>
    </w:p>
    <w:p>
      <w:pPr>
        <w:pStyle w:val="ListBullet"/>
        <w:spacing w:after="40"/>
      </w:pPr>
      <w:r>
        <w:t>Maintain and monitor reminder coverage; investigate the uncovered 27.3% of appointments.</w:t>
      </w:r>
    </w:p>
    <w:p>
      <w:pPr>
        <w:pStyle w:val="ListBullet"/>
        <w:spacing w:after="40"/>
      </w:pPr>
      <w:r>
        <w:t>Use the dashboard to monitor no-show rate by appointment time, type and other operational segments.</w:t>
      </w:r>
    </w:p>
    <w:p>
      <w:pPr>
        <w:pStyle w:val="ListBullet"/>
        <w:spacing w:after="40"/>
      </w:pPr>
      <w:r>
        <w:t>Before operational rollout, validate these patterns against real clinic processes and additional data.</w:t>
      </w:r>
    </w:p>
    <w:p>
      <w:pPr>
        <w:pStyle w:val="Heading1"/>
      </w:pPr>
      <w:r>
        <w:rPr>
          <w:color w:val="17365D"/>
        </w:rPr>
        <w:t>9. Challenges &amp; Decisions</w:t>
      </w:r>
    </w:p>
    <w:p>
      <w:pPr>
        <w:pStyle w:val="ListBullet"/>
        <w:spacing w:after="40"/>
      </w:pPr>
      <w:r>
        <w:t>Date conversion required validation because some booking-date values needed correct parsing before analysis.</w:t>
      </w:r>
    </w:p>
    <w:p>
      <w:pPr>
        <w:pStyle w:val="ListBullet"/>
        <w:spacing w:after="40"/>
      </w:pPr>
      <w:r>
        <w:t>The reminder-channel field has structural blanks when no reminder is sent; these were not treated as ordinary missing values.</w:t>
      </w:r>
    </w:p>
    <w:p>
      <w:pPr>
        <w:pStyle w:val="ListBullet"/>
        <w:spacing w:after="40"/>
      </w:pPr>
      <w:r>
        <w:t>A no-show-rate visual must use a count-based denominator and the exact outcome value “No-Show”; using an incorrect aggregation can produce a misleading zero.</w:t>
      </w:r>
    </w:p>
    <w:p>
      <w:pPr>
        <w:pStyle w:val="ListBullet"/>
        <w:spacing w:after="40"/>
      </w:pPr>
      <w:r>
        <w:t>The dashboard prioritises interpretable visuals over a large number of charts so that each visual supports a business question.</w:t>
      </w:r>
    </w:p>
    <w:p>
      <w:pPr>
        <w:pStyle w:val="Heading1"/>
      </w:pPr>
      <w:r>
        <w:rPr>
          <w:color w:val="17365D"/>
        </w:rPr>
        <w:t>10. Cross-Track Collaboration</w:t>
      </w:r>
    </w:p>
    <w:p>
      <w:r>
        <w:t>The Data Analytics output is intended to provide KPIs and descriptive patterns that can inform the Data Science track, particularly around target definition and candidate risk factors such as previous no-shows, booking lead time and reminder status. This is a dependency rather than evidence that any factor causes a no-show.</w:t>
      </w:r>
    </w:p>
    <w:p>
      <w:pPr>
        <w:pStyle w:val="Heading1"/>
      </w:pPr>
      <w:r>
        <w:rPr>
          <w:color w:val="17365D"/>
        </w:rPr>
        <w:t>11. Limitations, Risks &amp; Dependencies</w:t>
      </w:r>
    </w:p>
    <w:p>
      <w:pPr>
        <w:pStyle w:val="ListBullet"/>
        <w:spacing w:after="40"/>
      </w:pPr>
      <w:r>
        <w:t>The dataset is fictional, synthetic and anonymised; findings should not be generalised to real clinical populations without validation.</w:t>
      </w:r>
    </w:p>
    <w:p>
      <w:pPr>
        <w:pStyle w:val="ListBullet"/>
        <w:spacing w:after="40"/>
      </w:pPr>
      <w:r>
        <w:t>Distance and waiting-time fields contain missing values.</w:t>
      </w:r>
    </w:p>
    <w:p>
      <w:pPr>
        <w:pStyle w:val="ListBullet"/>
        <w:spacing w:after="40"/>
      </w:pPr>
      <w:r>
        <w:t>Reminder-channel blanks are structurally related to reminder status.</w:t>
      </w:r>
    </w:p>
    <w:p>
      <w:pPr>
        <w:pStyle w:val="ListBullet"/>
        <w:spacing w:after="40"/>
      </w:pPr>
      <w:r>
        <w:t>The outcome contains Attended, No-Show and Cancelled; KPI definitions must keep these categories explicit.</w:t>
      </w:r>
    </w:p>
    <w:p>
      <w:pPr>
        <w:pStyle w:val="ListBullet"/>
        <w:spacing w:after="40"/>
      </w:pPr>
      <w:r>
        <w:t>Observed relationships are associations, not causal effects.</w:t>
      </w:r>
    </w:p>
    <w:p>
      <w:pPr>
        <w:pStyle w:val="ListBullet"/>
        <w:spacing w:after="40"/>
      </w:pPr>
      <w:r>
        <w:t>Future interventions depend on actual clinic processes and operational feasibility.</w:t>
      </w:r>
    </w:p>
    <w:p>
      <w:pPr>
        <w:pStyle w:val="ListBullet"/>
        <w:spacing w:after="40"/>
      </w:pPr>
      <w:r>
        <w:t>Healthcare analysis must preserve privacy and avoid unsupported medical or clinical claims.</w:t>
      </w:r>
    </w:p>
    <w:p>
      <w:pPr>
        <w:pStyle w:val="Heading1"/>
      </w:pPr>
      <w:r>
        <w:rPr>
          <w:color w:val="17365D"/>
        </w:rPr>
        <w:t>12. Week 5 Project Summary</w:t>
      </w:r>
    </w:p>
    <w:p>
      <w:r>
        <w:rPr>
          <w:b/>
          <w:color w:val="168A8A"/>
        </w:rPr>
        <w:t xml:space="preserve">Planned: </w:t>
      </w:r>
      <w:r>
        <w:t>Move from the Week 4 analytical foundation into practical data preparation, EDA, KPI calculation, visualisation and business insight generation.</w:t>
      </w:r>
    </w:p>
    <w:p>
      <w:r>
        <w:rPr>
          <w:b/>
          <w:color w:val="168A8A"/>
        </w:rPr>
        <w:t xml:space="preserve">Completed: </w:t>
      </w:r>
      <w:r>
        <w:t>Validated the working dataset, calculated core KPIs, investigated no-show relationships, built an interactive Power BI dashboard and documented insights/recommendations.</w:t>
      </w:r>
    </w:p>
    <w:p>
      <w:r>
        <w:rPr>
          <w:b/>
          <w:color w:val="168A8A"/>
        </w:rPr>
        <w:t xml:space="preserve">Key outcomes: </w:t>
      </w:r>
      <w:r>
        <w:t>No-show rate 48.46%; attendance rate 46.28%; reminder coverage 72.7%; repeat no-show rate 55.41%.</w:t>
      </w:r>
    </w:p>
    <w:p>
      <w:r>
        <w:rPr>
          <w:b/>
          <w:color w:val="168A8A"/>
        </w:rPr>
        <w:t xml:space="preserve">Main challenge: </w:t>
      </w:r>
      <w:r>
        <w:t>Date parsing and ensuring KPI measures use the correct outcome text and denominator.</w:t>
      </w:r>
    </w:p>
    <w:p>
      <w:r>
        <w:rPr>
          <w:b/>
          <w:color w:val="168A8A"/>
        </w:rPr>
        <w:t xml:space="preserve">Important decision: </w:t>
      </w:r>
      <w:r>
        <w:t>Use descriptive analysis and clearly label associations rather than making causal claims.</w:t>
      </w:r>
    </w:p>
    <w:p>
      <w:r>
        <w:rPr>
          <w:b/>
          <w:color w:val="168A8A"/>
        </w:rPr>
        <w:t xml:space="preserve">Change from Week 4: </w:t>
      </w:r>
      <w:r>
        <w:t>The Week 4 proposed KPIs moved from definitions into calculated measures and dashboard visuals.</w:t>
      </w:r>
    </w:p>
    <w:p>
      <w:r>
        <w:rPr>
          <w:b/>
          <w:color w:val="168A8A"/>
        </w:rPr>
        <w:t xml:space="preserve">Collaboration: </w:t>
      </w:r>
      <w:r>
        <w:t>Analytics outputs can feed Data Science target/feature discussions.</w:t>
      </w:r>
    </w:p>
    <w:p>
      <w:r>
        <w:rPr>
          <w:b/>
          <w:color w:val="168A8A"/>
        </w:rPr>
        <w:t xml:space="preserve">Remaining work: </w:t>
      </w:r>
      <w:r>
        <w:t>Further validation, deeper segmentation, testing and potential predictive modelling.</w:t>
      </w:r>
    </w:p>
    <w:p>
      <w:r>
        <w:rPr>
          <w:b/>
          <w:color w:val="168A8A"/>
        </w:rPr>
        <w:t xml:space="preserve">Week 6 focus: </w:t>
      </w:r>
      <w:r>
        <w:t>Refine the strongest analytical findings, validate assumptions and support the next project-development stage.</w:t>
      </w:r>
    </w:p>
    <w:p>
      <w:pPr>
        <w:pStyle w:val="Heading1"/>
      </w:pPr>
      <w:r>
        <w:rPr>
          <w:color w:val="17365D"/>
        </w:rPr>
        <w:t>13. Power BI Measure Definitions Used</w:t>
      </w:r>
    </w:p>
    <w:p>
      <w:r>
        <w:t>Use these exact measure names to avoid naming conflicts. The table name is “HC Appointments”.</w:t>
      </w:r>
    </w:p>
    <w:tbl>
      <w:tblPr>
        <w:tblW w:type="auto" w:w="0"/>
        <w:jc w:val="center"/>
        <w:tblLook w:firstColumn="1" w:firstRow="1" w:lastColumn="0" w:lastRow="0" w:noHBand="0" w:noVBand="1" w:val="04A0"/>
      </w:tblPr>
      <w:tblGrid>
        <w:gridCol w:w="5184"/>
        <w:gridCol w:w="5184"/>
      </w:tblGrid>
      <w:tr>
        <w:tc>
          <w:tcPr>
            <w:tcW w:type="dxa" w:w="5184"/>
            <w:shd w:fill="17365D"/>
            <w:vAlign w:val="center"/>
          </w:tcPr>
          <w:p>
            <w:r/>
            <w:r>
              <w:rPr>
                <w:b/>
                <w:color w:val="FFFFFF"/>
                <w:sz w:val="17"/>
              </w:rPr>
              <w:t>Measure name</w:t>
            </w:r>
          </w:p>
        </w:tc>
        <w:tc>
          <w:tcPr>
            <w:tcW w:type="dxa" w:w="5184"/>
            <w:shd w:fill="17365D"/>
            <w:vAlign w:val="center"/>
          </w:tcPr>
          <w:p>
            <w:r/>
            <w:r>
              <w:rPr>
                <w:b/>
                <w:color w:val="FFFFFF"/>
                <w:sz w:val="17"/>
              </w:rPr>
              <w:t>DAX</w:t>
            </w:r>
          </w:p>
        </w:tc>
      </w:tr>
      <w:tr>
        <w:tc>
          <w:tcPr>
            <w:tcW w:type="dxa" w:w="5184"/>
            <w:vAlign w:val="center"/>
          </w:tcPr>
          <w:p>
            <w:r/>
            <w:r>
              <w:rPr>
                <w:b/>
                <w:color w:val="168A8A"/>
                <w:sz w:val="16"/>
              </w:rPr>
              <w:t>Total Appointments</w:t>
            </w:r>
          </w:p>
        </w:tc>
        <w:tc>
          <w:tcPr>
            <w:tcW w:type="dxa" w:w="5184"/>
            <w:vAlign w:val="center"/>
          </w:tcPr>
          <w:p>
            <w:r/>
            <w:r>
              <w:rPr>
                <w:b w:val="0"/>
                <w:color w:val="1F2937"/>
                <w:sz w:val="15"/>
              </w:rPr>
              <w:t>COUNTROWS('HC Appointments')</w:t>
            </w:r>
          </w:p>
        </w:tc>
      </w:tr>
      <w:tr>
        <w:tc>
          <w:tcPr>
            <w:tcW w:type="dxa" w:w="5184"/>
            <w:vAlign w:val="center"/>
          </w:tcPr>
          <w:p>
            <w:r/>
            <w:r>
              <w:rPr>
                <w:b/>
                <w:color w:val="168A8A"/>
                <w:sz w:val="16"/>
              </w:rPr>
              <w:t>No Show Count</w:t>
            </w:r>
          </w:p>
        </w:tc>
        <w:tc>
          <w:tcPr>
            <w:tcW w:type="dxa" w:w="5184"/>
            <w:vAlign w:val="center"/>
          </w:tcPr>
          <w:p>
            <w:r/>
            <w:r>
              <w:rPr>
                <w:b w:val="0"/>
                <w:color w:val="1F2937"/>
                <w:sz w:val="15"/>
              </w:rPr>
              <w:t>CALCULATE(COUNTROWS('HC Appointments'), 'HC Appointments'[appointment_outcome] = "No-Show")</w:t>
            </w:r>
          </w:p>
        </w:tc>
      </w:tr>
      <w:tr>
        <w:tc>
          <w:tcPr>
            <w:tcW w:type="dxa" w:w="5184"/>
            <w:vAlign w:val="center"/>
          </w:tcPr>
          <w:p>
            <w:r/>
            <w:r>
              <w:rPr>
                <w:b/>
                <w:color w:val="168A8A"/>
                <w:sz w:val="16"/>
              </w:rPr>
              <w:t>No Show Rate</w:t>
            </w:r>
          </w:p>
        </w:tc>
        <w:tc>
          <w:tcPr>
            <w:tcW w:type="dxa" w:w="5184"/>
            <w:vAlign w:val="center"/>
          </w:tcPr>
          <w:p>
            <w:r/>
            <w:r>
              <w:rPr>
                <w:b w:val="0"/>
                <w:color w:val="1F2937"/>
                <w:sz w:val="15"/>
              </w:rPr>
              <w:t>DIVIDE([No Show Count], [Total Appointments], 0)</w:t>
            </w:r>
          </w:p>
        </w:tc>
      </w:tr>
      <w:tr>
        <w:tc>
          <w:tcPr>
            <w:tcW w:type="dxa" w:w="5184"/>
            <w:vAlign w:val="center"/>
          </w:tcPr>
          <w:p>
            <w:r/>
            <w:r>
              <w:rPr>
                <w:b/>
                <w:color w:val="168A8A"/>
                <w:sz w:val="16"/>
              </w:rPr>
              <w:t>Attendance Rate</w:t>
            </w:r>
          </w:p>
        </w:tc>
        <w:tc>
          <w:tcPr>
            <w:tcW w:type="dxa" w:w="5184"/>
            <w:vAlign w:val="center"/>
          </w:tcPr>
          <w:p>
            <w:r/>
            <w:r>
              <w:rPr>
                <w:b w:val="0"/>
                <w:color w:val="1F2937"/>
                <w:sz w:val="15"/>
              </w:rPr>
              <w:t>DIVIDE(CALCULATE(COUNTROWS('HC Appointments'), 'HC Appointments'[appointment_outcome] = "Attended"), [Total Appointments], 0)</w:t>
            </w:r>
          </w:p>
        </w:tc>
      </w:tr>
      <w:tr>
        <w:tc>
          <w:tcPr>
            <w:tcW w:type="dxa" w:w="5184"/>
            <w:vAlign w:val="center"/>
          </w:tcPr>
          <w:p>
            <w:r/>
            <w:r>
              <w:rPr>
                <w:b/>
                <w:color w:val="168A8A"/>
                <w:sz w:val="16"/>
              </w:rPr>
              <w:t>Reminder Coverage Rate</w:t>
            </w:r>
          </w:p>
        </w:tc>
        <w:tc>
          <w:tcPr>
            <w:tcW w:type="dxa" w:w="5184"/>
            <w:vAlign w:val="center"/>
          </w:tcPr>
          <w:p>
            <w:r/>
            <w:r>
              <w:rPr>
                <w:b w:val="0"/>
                <w:color w:val="1F2937"/>
                <w:sz w:val="15"/>
              </w:rPr>
              <w:t>DIVIDE(CALCULATE(COUNTROWS('HC Appointments'), 'HC Appointments'[reminder_sent] = "Yes"), [Total Appointments], 0)</w:t>
            </w:r>
          </w:p>
        </w:tc>
      </w:tr>
    </w:tbl>
    <w:p>
      <w:pPr>
        <w:pStyle w:val="Heading1"/>
      </w:pPr>
      <w:r>
        <w:rPr>
          <w:color w:val="17365D"/>
        </w:rPr>
        <w:t>14. Final Quality-Control Checklist</w:t>
      </w:r>
    </w:p>
    <w:p>
      <w:pPr>
        <w:pStyle w:val="ListBullet"/>
        <w:spacing w:after="40"/>
      </w:pPr>
      <w:r>
        <w:t>Original supplied dataset remains unchanged; working/processed data is separate.</w:t>
      </w:r>
    </w:p>
    <w:p>
      <w:pPr>
        <w:pStyle w:val="ListBullet"/>
        <w:spacing w:after="40"/>
      </w:pPr>
      <w:r>
        <w:t>Booking date and appointment date are Date data types.</w:t>
      </w:r>
    </w:p>
    <w:p>
      <w:pPr>
        <w:pStyle w:val="ListBullet"/>
        <w:spacing w:after="40"/>
      </w:pPr>
      <w:r>
        <w:t>No-show KPI displays approximately 48.46% when no filters are applied.</w:t>
      </w:r>
    </w:p>
    <w:p>
      <w:pPr>
        <w:pStyle w:val="ListBullet"/>
        <w:spacing w:after="40"/>
      </w:pPr>
      <w:r>
        <w:t>Attendance KPI displays approximately 46.28% when no filters are applied.</w:t>
      </w:r>
    </w:p>
    <w:p>
      <w:pPr>
        <w:pStyle w:val="ListBullet"/>
        <w:spacing w:after="40"/>
      </w:pPr>
      <w:r>
        <w:t>Reminder coverage displays approximately 72.7% when no filters are applied.</w:t>
      </w:r>
    </w:p>
    <w:p>
      <w:pPr>
        <w:pStyle w:val="ListBullet"/>
        <w:spacing w:after="40"/>
      </w:pPr>
      <w:r>
        <w:t>Repeat no-show KPI displays approximately 55.41% for records with previous no-shows, using the defined comparison.</w:t>
      </w:r>
    </w:p>
    <w:p>
      <w:pPr>
        <w:pStyle w:val="ListBullet"/>
        <w:spacing w:after="40"/>
      </w:pPr>
      <w:r>
        <w:t>Every chart has a clear title and appropriate aggregation.</w:t>
      </w:r>
    </w:p>
    <w:p>
      <w:pPr>
        <w:pStyle w:val="ListBullet"/>
        <w:spacing w:after="40"/>
      </w:pPr>
      <w:r>
        <w:t>Slicers are not overcrowding the page and are synced where appropriate.</w:t>
      </w:r>
    </w:p>
    <w:p>
      <w:pPr>
        <w:pStyle w:val="ListBullet"/>
        <w:spacing w:after="40"/>
      </w:pPr>
      <w:r>
        <w:t>All pages use the same colour palette and typography.</w:t>
      </w:r>
    </w:p>
    <w:p>
      <w:pPr>
        <w:pStyle w:val="ListBullet"/>
        <w:spacing w:after="40"/>
      </w:pPr>
      <w:r>
        <w:t>Dashboard findings match the report; no unsupported causal claims are made.</w:t>
      </w:r>
    </w:p>
    <w:p>
      <w:pPr>
        <w:pStyle w:val="ListBullet"/>
        <w:spacing w:after="40"/>
      </w:pPr>
      <w:r>
        <w:t>Week 5 report, project summary, Power BI file/dashboard evidence and relevant supporting files are named clearly and organised for submission.</w:t>
      </w:r>
    </w:p>
    <w:tbl>
      <w:tblPr>
        <w:tblW w:type="auto" w:w="0"/>
        <w:jc w:val="center"/>
        <w:tblLook w:firstColumn="1" w:firstRow="1" w:lastColumn="0" w:lastRow="0" w:noHBand="0" w:noVBand="1" w:val="04A0"/>
      </w:tblPr>
      <w:tblGrid>
        <w:gridCol w:w="10368"/>
      </w:tblGrid>
      <w:tr>
        <w:tc>
          <w:tcPr>
            <w:tcW w:type="dxa" w:w="10368"/>
            <w:shd w:fill="EAF3F8"/>
            <w:vAlign w:val="center"/>
          </w:tcPr>
          <w:p>
            <w:r/>
            <w:r>
              <w:rPr>
                <w:b w:val="0"/>
                <w:color w:val="1F2937"/>
                <w:sz w:val="18"/>
              </w:rPr>
              <w:t>Prepared for the AnalystLab Africa Experience Lab • Week 5 • Data Analytics Track. This document is based on the official Week 5 assignment and the verified HealthConnect project findings available in the working project record.</w:t>
            </w:r>
          </w:p>
        </w:tc>
      </w:tr>
    </w:tbl>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