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rPr>
          <w:b/>
        </w:rPr>
        <w:t xml:space="preserve">AUTOR  </w:t>
      </w:r>
      <w:r>
        <w:t>Jardel da Silva</w:t>
      </w:r>
      <w:r>
        <w:t xml:space="preserve">    •    </w:t>
      </w:r>
      <w:r>
        <w:rPr>
          <w:b/>
        </w:rPr>
        <w:t xml:space="preserve">VERSÃO  </w:t>
      </w:r>
      <w:r>
        <w:t>Guia navegável de materiais • versão 2026</w:t>
      </w:r>
    </w:p>
    <w:p>
      <w:pPr>
        <w:pStyle w:val="Title"/>
      </w:pPr>
      <w:r>
        <w:t>Previsão–observação–explicação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7" w:color="D9E1E8"/>
              <w:left w:val="single" w:sz="7" w:color="D9E1E8"/>
              <w:bottom w:val="single" w:sz="7" w:color="D9E1E8"/>
              <w:right w:val="single" w:sz="7" w:color="D9E1E8"/>
            </w:tcBorders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  <w:t>Modelo complementar para registrar condições, previsões, observações e explicações em testes de lógica.</w:t>
            </w:r>
          </w:p>
        </w:tc>
      </w:tr>
      <w:tr>
        <w:trPr>
          <w:cantSplit/>
        </w:trP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7" w:color="D9E1E8"/>
              <w:left w:val="single" w:sz="7" w:color="D9E1E8"/>
              <w:bottom w:val="single" w:sz="7" w:color="D9E1E8"/>
              <w:right w:val="single" w:sz="7" w:color="D9E1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5B6573"/>
                <w:sz w:val="17"/>
              </w:rPr>
              <w:t>Modelo complementar do guia • não aplicado como tal na pesquisa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5F9FC"/>
            <w:tcMar>
              <w:top w:w="125" w:type="dxa"/>
              <w:start w:w="145" w:type="dxa"/>
              <w:bottom w:w="125" w:type="dxa"/>
              <w:end w:w="145" w:type="dxa"/>
            </w:tcMar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  <w:t>Modelo complementar do guia • não aplicado como tal na pesquisa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535"/>
            <w:shd w:fill="5B6573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5B6573"/>
              <w:left w:val="single" w:sz="8" w:color="FFFFFF"/>
              <w:bottom w:val="single" w:sz="8" w:color="5B6573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Turma / grupo:</w:t>
            </w:r>
          </w:p>
        </w:tc>
        <w:tc>
          <w:tcPr>
            <w:tcW w:type="dxa" w:w="3402"/>
            <w:shd w:fill="5B6573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5B6573"/>
              <w:left w:val="single" w:sz="8" w:color="FFFFFF"/>
              <w:bottom w:val="single" w:sz="8" w:color="5B6573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Data:</w:t>
            </w:r>
          </w:p>
        </w:tc>
      </w:tr>
      <w:tr>
        <w:trPr>
          <w:cantSplit/>
        </w:trPr>
        <w:tc>
          <w:tcPr>
            <w:tcW w:type="dxa" w:w="4535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</w:r>
          </w:p>
        </w:tc>
        <w:tc>
          <w:tcPr>
            <w:tcW w:type="dxa" w:w="3402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Orientação</w:t>
      </w:r>
    </w:p>
    <w:p>
      <w:r>
        <w:t>Registre primeiro a previsão, depois a observação do teste e, por fim, uma explicação provisória para aproximar a condição lógica do comportamento observado. Não há respostas preenchidas neste modelo.</w:t>
      </w:r>
    </w:p>
    <w:p>
      <w:pPr>
        <w:pStyle w:val="Heading2"/>
      </w:pPr>
      <w:r>
        <w:t>Condições e expressão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1E8"/>
              <w:left w:val="single" w:sz="8" w:color="D9E1E8"/>
              <w:bottom w:val="single" w:sz="8" w:color="D9E1E8"/>
              <w:right w:val="single" w:sz="8" w:color="D9E1E8"/>
            </w:tcBorders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5B6573"/>
                <w:sz w:val="18"/>
              </w:rPr>
              <w:t>Condição A — o que significa A?</w:t>
            </w: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1E8"/>
              <w:left w:val="single" w:sz="8" w:color="D9E1E8"/>
              <w:bottom w:val="single" w:sz="8" w:color="D9E1E8"/>
              <w:right w:val="single" w:sz="8" w:color="D9E1E8"/>
            </w:tcBorders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5B6573"/>
                <w:sz w:val="18"/>
              </w:rPr>
              <w:t>Condição B — o que significa B?</w:t>
            </w: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1E8"/>
              <w:left w:val="single" w:sz="8" w:color="D9E1E8"/>
              <w:bottom w:val="single" w:sz="8" w:color="D9E1E8"/>
              <w:right w:val="single" w:sz="8" w:color="D9E1E8"/>
            </w:tcBorders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5B6573"/>
                <w:sz w:val="18"/>
              </w:rPr>
              <w:t>Expressão lógica que será testada (use AND, OR e/ou NOT):</w:t>
            </w: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</w:tc>
      </w:tr>
    </w:tbl>
    <w:p>
      <w:pPr>
        <w:spacing w:after="20"/>
      </w:pPr>
    </w:p>
    <w:p>
      <w:pPr>
        <w:pStyle w:val="Heading2"/>
      </w:pPr>
      <w:r>
        <w:t>Previsão, observação e explicação</w:t>
      </w:r>
    </w:p>
    <w:p>
      <w:r>
        <w:t>Para cada combinação, registre a previsão antes do teste, a observação durante o teste e a explicação provisória depois de comparar as duas.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1474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Combinação</w:t>
              <w:br/>
              <w:t>A B</w:t>
            </w:r>
          </w:p>
        </w:tc>
        <w:tc>
          <w:tcPr>
            <w:tcW w:type="dxa" w:w="2268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Previsão</w:t>
            </w:r>
          </w:p>
        </w:tc>
        <w:tc>
          <w:tcPr>
            <w:tcW w:type="dxa" w:w="2268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Observação</w:t>
            </w:r>
          </w:p>
        </w:tc>
        <w:tc>
          <w:tcPr>
            <w:tcW w:type="dxa" w:w="2551"/>
            <w:shd w:fill="1F4E79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tcBorders>
              <w:top w:val="single" w:sz="8" w:color="1F4E79"/>
              <w:left w:val="single" w:sz="8" w:color="FFFFFF"/>
              <w:bottom w:val="single" w:sz="8" w:color="1F4E79"/>
              <w:right w:val="single" w:sz="8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Explicação provisória</w:t>
            </w:r>
          </w:p>
        </w:tc>
      </w:tr>
      <w:tr>
        <w:trPr>
          <w:cantSplit/>
        </w:trPr>
        <w:tc>
          <w:tcPr>
            <w:tcW w:type="dxa" w:w="1474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  <w:t>00</w:t>
            </w:r>
          </w:p>
        </w:tc>
        <w:tc>
          <w:tcPr>
            <w:tcW w:type="dxa" w:w="226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  <w:tc>
          <w:tcPr>
            <w:tcW w:type="dxa" w:w="226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  <w:tc>
          <w:tcPr>
            <w:tcW w:type="dxa" w:w="255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1474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  <w:t>01</w:t>
            </w:r>
          </w:p>
        </w:tc>
        <w:tc>
          <w:tcPr>
            <w:tcW w:type="dxa" w:w="226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  <w:tc>
          <w:tcPr>
            <w:tcW w:type="dxa" w:w="226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  <w:tc>
          <w:tcPr>
            <w:tcW w:type="dxa" w:w="255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1474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  <w:t>10</w:t>
            </w:r>
          </w:p>
        </w:tc>
        <w:tc>
          <w:tcPr>
            <w:tcW w:type="dxa" w:w="226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  <w:tc>
          <w:tcPr>
            <w:tcW w:type="dxa" w:w="226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  <w:tc>
          <w:tcPr>
            <w:tcW w:type="dxa" w:w="255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</w:tr>
      <w:tr>
        <w:trPr>
          <w:cantSplit/>
        </w:trPr>
        <w:tc>
          <w:tcPr>
            <w:tcW w:type="dxa" w:w="1474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  <w:t>11</w:t>
            </w:r>
          </w:p>
        </w:tc>
        <w:tc>
          <w:tcPr>
            <w:tcW w:type="dxa" w:w="226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  <w:tc>
          <w:tcPr>
            <w:tcW w:type="dxa" w:w="2268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  <w:tc>
          <w:tcPr>
            <w:tcW w:type="dxa" w:w="2551"/>
            <w:tcMar>
              <w:top w:w="105" w:type="dxa"/>
              <w:start w:w="90" w:type="dxa"/>
              <w:bottom w:w="105" w:type="dxa"/>
              <w:end w:w="90" w:type="dxa"/>
            </w:tcMar>
            <w:vAlign w:val="center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7"/>
              </w:rPr>
            </w:r>
          </w:p>
        </w:tc>
      </w:tr>
    </w:tbl>
    <w:p>
      <w:pPr>
        <w:spacing w:after="20"/>
      </w:pPr>
    </w:p>
    <w:p>
      <w:pPr>
        <w:pStyle w:val="SmallNote"/>
      </w:pPr>
      <w:r>
        <w:t>Legenda de combinação: 0 e 1 devem ser definidos pelo professor ou pelo grupo para as condições A e B antes do teste.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D9E1E8"/>
              <w:left w:val="single" w:sz="8" w:color="D9E1E8"/>
              <w:bottom w:val="single" w:sz="8" w:color="D9E1E8"/>
              <w:right w:val="single" w:sz="8" w:color="D9E1E8"/>
            </w:tcBorders>
          </w:tcPr>
          <w:p>
            <w:pPr>
              <w:spacing w:after="60"/>
            </w:pPr>
            <w:r/>
            <w:r>
              <w:rPr>
                <w:rFonts w:ascii="Liberation Sans" w:hAnsi="Liberation Sans"/>
                <w:b/>
                <w:color w:val="5B6573"/>
                <w:sz w:val="18"/>
              </w:rPr>
              <w:t>O que mudou entre a previsão e o teste?</w:t>
            </w: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  <w:p>
            <w:pPr>
              <w:spacing w:after="67" w:line="240" w:lineRule="auto"/>
              <w:pBdr>
                <w:bottom w:val="single" w:sz="8" w:space="1" w:color="D9E1E8"/>
              </w:pBdr>
            </w:pP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50" w:left="99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Liberation Sans" w:hAnsi="Liberation Sans"/>
        <w:color w:val="5B6573"/>
        <w:sz w:val="16"/>
      </w:rPr>
      <w:t xml:space="preserve">Guia UEPS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 w:eastAsia="Liberation Sans"/>
        <w:color w:val="5B6573"/>
        <w:sz w:val="16"/>
      </w:rPr>
      <w:t>A01 • Previsão e teste  •  Jardel da Silva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 w:eastAsia="Liberation San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60" w:line="240" w:lineRule="auto"/>
    </w:pPr>
    <w:rPr>
      <w:rFonts w:ascii="Liberation Sans" w:hAnsi="Liberation Sans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