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Projeto Interdisciplinar — Plataforma ALFAS</w:t>
      </w:r>
    </w:p>
    <w:p>
      <w:pPr/>
      <w:r>
        <w:t xml:space="preserve">SMUL1 · LEI 2.º ano · ISTEC Porto · </w:t>
      </w:r>
      <w:r>
        <w:t xml:space="preserve">Oct 17, 2026</w:t>
      </w:r>
      <w:r>
        <w:t xml:space="preserve"> · </w:t>
      </w:r>
      <w:r>
        <w:t xml:space="preserve">@Ronaldo</w:t>
      </w:r>
    </w:p>
    <w:p>
      <w:pPr>
        <w:pStyle w:val="Heading2"/>
      </w:pPr>
      <w:r>
        <w:t xml:space="preserve">O que é</w:t>
      </w:r>
    </w:p>
    <w:p>
      <w:pPr/>
      <w:r>
        <w:t xml:space="preserve">Uma aplicação web de literacia em saúde para jovens do 3.º ciclo e do secundário, com webinars e workshops acessíveis mediante registo. O consórcio ALFAS é o cliente fictício; o Prof. Helder faz esse papel nas apresentações.</w:t>
      </w:r>
    </w:p>
    <w:p>
      <w:pPr/>
      <w:r>
        <w:t xml:space="preserve">O problema: os jovens procuram informação de saúde online em fontes de qualidade muito desigual. A plataforma dá-lhes conteúdo fiável e mede se aprenderam, comparando um questionário antes e outro depois de cada formação.</w:t>
      </w:r>
    </w:p>
    <w:p>
      <w:pPr>
        <w:pStyle w:val="Heading2"/>
      </w:pPr>
      <w:r>
        <w:t xml:space="preserve">Quem usa</w:t>
      </w:r>
    </w:p>
    <w:p>
      <w:pPr/>
      <w:r>
        <w:t xml:space="preserve">Quatro papéis em cascata: cada um tem tudo o que o anterior tem. Os utilizadores principais são os alunos; professores e profissionais de saúde dinamizam as atividades.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Pode fazer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Convidado</w:t>
            </w:r>
          </w:p>
        </w:tc>
        <w:tc>
          <w:tcPr>
            <w:tcW w:w="6382" w:type="dxa"/>
          </w:tcPr>
          <w:p>
            <w:pPr/>
            <w:r>
              <w:t xml:space="preserve">Ver áreas de saúde, notícias, publicações, agenda, informação do projeto e política de privacidade; registar-se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Utilizador registado</w:t>
            </w:r>
          </w:p>
        </w:tc>
        <w:tc>
          <w:tcPr>
            <w:tcW w:w="6382" w:type="dxa"/>
          </w:tcPr>
          <w:p>
            <w:pPr/>
            <w:r>
              <w:t xml:space="preserve">Pesquisar workshops/webinars e inscrever-se; responder aos questionários; ver badges e obter certificados; gerir os dados pessoais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Manager</w:t>
            </w:r>
          </w:p>
        </w:tc>
        <w:tc>
          <w:tcPr>
            <w:tcW w:w="6382" w:type="dxa"/>
          </w:tcPr>
          <w:p>
            <w:pPr/>
            <w:r>
              <w:t xml:space="preserve">Criar, editar e apagar recursos, áreas de saúde, categorias, atividades, notícias e questionários; ver estatísticas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Administrador</w:t>
            </w:r>
          </w:p>
        </w:tc>
        <w:tc>
          <w:tcPr>
            <w:tcW w:w="6382" w:type="dxa"/>
          </w:tcPr>
          <w:p>
            <w:pPr/>
            <w:r>
              <w:t xml:space="preserve">Gerir utilizadores, perfis, estados de conta e permissões</w:t>
            </w:r>
          </w:p>
        </w:tc>
      </w:tr>
    </w:tbl>
    <w:p>
      <w:pPr>
        <w:pStyle w:val="Heading2"/>
      </w:pPr>
      <w:r>
        <w:t xml:space="preserve">Percurso de aprendizagem</w:t>
      </w:r>
    </w:p>
    <w:p>
      <w:pPr/>
      <w:r>
        <w:t xml:space="preserve">O núcleo do sistema: cada recurso formativo fica entre um questionário de diagnóstico e um questionário final sobre os mesmos temas.</w:t>
      </w:r>
    </w:p>
    <w:p>
      <w:pPr/>
      <w:r>
        <w:drawing>
          <wp:inline distT="0" distB="0" distL="0" distR="0">
            <wp:extent cx="5486400" cy="2147207"/>
            <wp:docPr id="1" name="image1" descr="percurso de aprendizagem · 4 passos, 1 decisã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ercurso de aprendizagem · 4 passos, 1 decisã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percurso de aprendizagem · 4 passos, 1 decisão</w:t>
      </w:r>
    </w:p>
    <w:p>
      <w:pPr/>
      <w:r>
        <w:t xml:space="preserve">A diferença entre as duas notas mede a aprendizagem; só 85% ou mais no questionário final dá badge e certificado.</w:t>
      </w:r>
    </w:p>
    <w:p>
      <w:pPr>
        <w:pStyle w:val="Heading2"/>
      </w:pPr>
      <w:r>
        <w:t xml:space="preserve">Módulo de análise</w:t>
      </w:r>
    </w:p>
    <w:p>
      <w:pPr/>
      <w:r>
        <w:t xml:space="preserve">Com as notas pré e pós de cada aluno em cada recurso, o backend calcula o ganho de aprendizagem, em valor absoluto e normalizado:</w:t>
      </w:r>
    </w:p>
    <w:p>
      <w:pPr>
        <w:pStyle w:val="Code"/>
      </w:pPr>
      <w:bookmarkStart w:id="1" w:name="bongo_lang_latex_1"/>
      <w:bookmarkEnd w:id="1"/>
      <w:r>
        <w:t xml:space="preserve">g = \frac{\text{pós} - \text{pré}}{\text{máximo} - \text{pré}}</w:t>
      </w:r>
    </w:p>
    <w:p>
      <w:pPr>
        <w:pStyle w:val="ListParagraph"/>
        <w:numPr>
          <w:ilvl w:val="0"/>
          <w:numId w:val="2"/>
        </w:numPr>
      </w:pPr>
      <w:r>
        <w:t xml:space="preserve">Distribuição das notas: média, mediana, desvio-padrão, mínimo e máximo, por recurso, área de saúde ou ano de escolaridade</w:t>
      </w:r>
    </w:p>
    <w:p>
      <w:pPr>
        <w:pStyle w:val="ListParagraph"/>
        <w:numPr>
          <w:ilvl w:val="0"/>
          <w:numId w:val="2"/>
        </w:numPr>
      </w:pPr>
      <w:r>
        <w:t xml:space="preserve">Análise das perguntas: percentagem de acerto em cada uma, para identificar as demasiado fáceis ou difíceis</w:t>
      </w:r>
    </w:p>
    <w:p>
      <w:pPr>
        <w:pStyle w:val="ListParagraph"/>
        <w:numPr>
          <w:ilvl w:val="0"/>
          <w:numId w:val="2"/>
        </w:numPr>
      </w:pPr>
      <w:r>
        <w:t xml:space="preserve">Comparação de grupos: intervalos de confiança e testes de hipóteses</w:t>
      </w:r>
    </w:p>
    <w:p>
      <w:pPr>
        <w:pStyle w:val="ListParagraph"/>
        <w:numPr>
          <w:ilvl w:val="0"/>
          <w:numId w:val="2"/>
        </w:numPr>
      </w:pPr>
      <w:r>
        <w:t xml:space="preserve">Simulação ou reamostragem quando a amostra é pequena</w:t>
      </w:r>
    </w:p>
    <w:p>
      <w:pPr>
        <w:pStyle w:val="ListParagraph"/>
        <w:numPr>
          <w:ilvl w:val="0"/>
          <w:numId w:val="2"/>
        </w:numPr>
      </w:pPr>
      <w:r>
        <w:t xml:space="preserve">Exportação dos dados brutos em CSV</w:t>
      </w:r>
    </w:p>
    <w:p>
      <w:pPr/>
      <w:r>
        <w:t xml:space="preserve">Para o Manager e o Administrador, os indicadores aparecem em gráficos: utilizadores registados e ativos, recursos publicados, inscrições, taxa de conclusão e ganho médio por recurso e por área. Os indicadores são sempre calculados a partir da base de dados, nunca com valores fixos no código.</w:t>
      </w:r>
    </w:p>
    <w:p>
      <w:pPr>
        <w:pStyle w:val="Heading2"/>
      </w:pPr>
      <w:r>
        <w:t xml:space="preserve">Requisitos obrigatórios</w:t>
      </w:r>
    </w:p>
    <w:p>
      <w:pPr/>
      <w:r>
        <w:t xml:space="preserve">O briefing do cliente fixa estes requisitos; a equipa tem de os aprofundar no levantamento de requisitos.</w:t>
      </w:r>
    </w:p>
    <w:p>
      <w:pPr>
        <w:pStyle w:val="ListParagraph"/>
        <w:numPr>
          <w:ilvl w:val="0"/>
          <w:numId w:val="3"/>
        </w:numPr>
      </w:pPr>
      <w:r>
        <w:t xml:space="preserve">Interface clara, simples, intuitiva e responsiva</w:t>
      </w:r>
    </w:p>
    <w:p>
      <w:pPr>
        <w:pStyle w:val="ListParagraph"/>
        <w:numPr>
          <w:ilvl w:val="0"/>
          <w:numId w:val="3"/>
        </w:numPr>
      </w:pPr>
      <w:r>
        <w:t xml:space="preserve">Separação clara entre conteúdo público e conteúdo para registados</w:t>
      </w:r>
    </w:p>
    <w:p>
      <w:pPr>
        <w:pStyle w:val="ListParagraph"/>
        <w:numPr>
          <w:ilvl w:val="0"/>
          <w:numId w:val="3"/>
        </w:numPr>
      </w:pPr>
      <w:r>
        <w:t xml:space="preserve">Menores de idade: o consentimento do encarregado de educação é pedido e registado antes de a conta ser ativada</w:t>
      </w:r>
    </w:p>
    <w:p>
      <w:pPr>
        <w:pStyle w:val="ListParagraph"/>
        <w:numPr>
          <w:ilvl w:val="0"/>
          <w:numId w:val="3"/>
        </w:numPr>
      </w:pPr>
      <w:r>
        <w:t xml:space="preserve">Inscrição em workshops e webinars, com acesso às gravações e aos materiais</w:t>
      </w:r>
    </w:p>
    <w:p>
      <w:pPr>
        <w:pStyle w:val="ListParagraph"/>
        <w:numPr>
          <w:ilvl w:val="0"/>
          <w:numId w:val="3"/>
        </w:numPr>
      </w:pPr>
      <w:r>
        <w:t xml:space="preserve">Questionário de diagnóstico e final por recurso, com respostas, nota e data registadas</w:t>
      </w:r>
    </w:p>
    <w:p>
      <w:pPr>
        <w:pStyle w:val="ListParagraph"/>
        <w:numPr>
          <w:ilvl w:val="0"/>
          <w:numId w:val="3"/>
        </w:numPr>
      </w:pPr>
      <w:r>
        <w:t xml:space="preserve">Badges e certificados visíveis no perfil</w:t>
      </w:r>
    </w:p>
    <w:p>
      <w:pPr>
        <w:pStyle w:val="ListParagraph"/>
        <w:numPr>
          <w:ilvl w:val="0"/>
          <w:numId w:val="3"/>
        </w:numPr>
      </w:pPr>
      <w:r>
        <w:t xml:space="preserve">Biblioteca virtual (publicações, notícias, agenda, destaques da semana) gerida no backoffice</w:t>
      </w:r>
    </w:p>
    <w:p>
      <w:pPr>
        <w:pStyle w:val="ListParagraph"/>
        <w:numPr>
          <w:ilvl w:val="0"/>
          <w:numId w:val="3"/>
        </w:numPr>
      </w:pPr>
      <w:r>
        <w:t xml:space="preserve">Gestão de utilizadores, perfis de acesso e estados de conta</w:t>
      </w:r>
    </w:p>
    <w:p>
      <w:pPr>
        <w:pStyle w:val="ListParagraph"/>
        <w:numPr>
          <w:ilvl w:val="0"/>
          <w:numId w:val="3"/>
        </w:numPr>
      </w:pPr>
      <w:r>
        <w:t xml:space="preserve">Tratamento de erros (dados inválidos, falha da base de dados) com mensagens úteis</w:t>
      </w:r>
    </w:p>
    <w:p>
      <w:pPr>
        <w:pStyle w:val="ListParagraph"/>
        <w:numPr>
          <w:ilvl w:val="0"/>
          <w:numId w:val="3"/>
        </w:numPr>
      </w:pPr>
      <w:r>
        <w:t xml:space="preserve">Passwords guardadas de forma segura e proteção de dados pessoais, com atenção especial aos menores</w:t>
      </w:r>
    </w:p>
    <w:p>
      <w:pPr>
        <w:pStyle w:val="ListParagraph"/>
        <w:numPr>
          <w:ilvl w:val="0"/>
          <w:numId w:val="3"/>
        </w:numPr>
      </w:pPr>
      <w:r>
        <w:t xml:space="preserve">Conteúdos preparados para vários idiomas (PT/EN)</w:t>
      </w:r>
    </w:p>
    <w:p>
      <w:pPr>
        <w:pStyle w:val="Heading2"/>
      </w:pPr>
      <w:r>
        <w:t xml:space="preserve">Tecnologia e ponto de partida</w:t>
      </w:r>
    </w:p>
    <w:p>
      <w:pPr/>
      <w:r>
        <w:t xml:space="preserve">A stack é obrigatória: React no frontend, Python com Flask no backend e MySQL ou SQL Server na base de dados, com programação orientada a objetos.</w:t>
      </w:r>
    </w:p>
    <w:p>
      <w:pPr/>
      <w:r>
        <w:drawing>
          <wp:inline distT="0" distB="0" distL="0" distR="0">
            <wp:extent cx="5486400" cy="1632857"/>
            <wp:docPr id="2" name="image2" descr="arquitetura MVC · 3 camad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quitetura MVC · 3 camad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MVC · 3 camadas</w:t>
      </w:r>
    </w:p>
    <w:p>
      <w:pPr/>
      <w:r>
        <w:t xml:space="preserve">O frontend envia pedidos ao Flask, que aplica as regras de negócio e fala com a base de dados.</w:t>
      </w:r>
    </w:p>
    <w:p>
      <w:pPr/>
      <w:r>
        <w:t xml:space="preserve">Ponto de partida fornecido: um diagrama de casos de uso (backoffice e frontoffice) e um modelo relacional de dados, ambos versão 1.0, no ficheiro PI-UML.drawio. A equipa tem de os analisar e atualizar.</w:t>
      </w:r>
    </w:p>
    <w:p>
      <w:pPr>
        <w:pStyle w:val="Heading2"/>
      </w:pPr>
      <w:r>
        <w:t xml:space="preserve">Entrega e avaliação</w:t>
      </w:r>
    </w:p>
    <w:p>
      <w:pPr/>
      <w:r>
        <w:t xml:space="preserve">Grupos de 3 a 5, a trabalhar com Scrum em 3 sprints; o Sprint C vale metade da nota do projeto.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2018"/>
        <w:gridCol w:w="750"/>
        <w:gridCol w:w="3868"/>
        <w:gridCol w:w="1854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2018" w:type="dxa"/>
            <w:shd w:val="clear" w:color="auto" w:fill="F2F2F2"/>
          </w:tcPr>
          <w:p>
            <w:pPr/>
            <w:r>
              <w:t xml:space="preserve">Período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Peso</w:t>
            </w:r>
          </w:p>
        </w:tc>
        <w:tc>
          <w:tcPr>
            <w:tcW w:w="3868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1854" w:type="dxa"/>
            <w:shd w:val="clear" w:color="auto" w:fill="F2F2F2"/>
          </w:tcPr>
          <w:p>
            <w:pPr/>
            <w:r>
              <w:t xml:space="preserve">Entrega no Moodle</w:t>
            </w:r>
          </w:p>
        </w:tc>
      </w:tr>
      <w:tr>
        <w:tc>
          <w:tcPr>
            <w:tcW w:w="869" w:type="dxa"/>
          </w:tcPr>
          <w:p>
            <w:pPr/>
            <w:r>
              <w:t xml:space="preserve">A</w:t>
            </w:r>
          </w:p>
        </w:tc>
        <w:tc>
          <w:tcPr>
            <w:tcW w:w="2018" w:type="dxa"/>
          </w:tcPr>
          <w:p>
            <w:pPr/>
            <w:r>
              <w:t xml:space="preserve">31 out – 21 nov 2026</w:t>
            </w:r>
          </w:p>
        </w:tc>
        <w:tc>
          <w:tcPr>
            <w:tcW w:w="750" w:type="dxa"/>
          </w:tcPr>
          <w:p>
            <w:pPr/>
            <w:r>
              <w:t xml:space="preserve">25%</w:t>
            </w:r>
          </w:p>
        </w:tc>
        <w:tc>
          <w:tcPr>
            <w:tcW w:w="3868" w:type="dxa"/>
          </w:tcPr>
          <w:p>
            <w:pPr/>
            <w:r>
              <w:t xml:space="preserve">Requisitos, diagramas UML, planeamento</w:t>
            </w:r>
          </w:p>
        </w:tc>
        <w:tc>
          <w:tcPr>
            <w:tcW w:w="1854" w:type="dxa"/>
          </w:tcPr>
          <w:p>
            <w:pPr/>
            <w:r>
              <w:t xml:space="preserve">20 nov, 23:59</w:t>
            </w:r>
          </w:p>
        </w:tc>
      </w:tr>
      <w:tr>
        <w:tc>
          <w:tcPr>
            <w:tcW w:w="869" w:type="dxa"/>
          </w:tcPr>
          <w:p>
            <w:pPr/>
            <w:r>
              <w:t xml:space="preserve">B</w:t>
            </w:r>
          </w:p>
        </w:tc>
        <w:tc>
          <w:tcPr>
            <w:tcW w:w="2018" w:type="dxa"/>
          </w:tcPr>
          <w:p>
            <w:pPr/>
            <w:r>
              <w:t xml:space="preserve">21 nov – 19 dez 2026</w:t>
            </w:r>
          </w:p>
        </w:tc>
        <w:tc>
          <w:tcPr>
            <w:tcW w:w="750" w:type="dxa"/>
          </w:tcPr>
          <w:p>
            <w:pPr/>
            <w:r>
              <w:t xml:space="preserve">25%</w:t>
            </w:r>
          </w:p>
        </w:tc>
        <w:tc>
          <w:tcPr>
            <w:tcW w:w="3868" w:type="dxa"/>
          </w:tcPr>
          <w:p>
            <w:pPr/>
            <w:r>
              <w:t xml:space="preserve">Estudo UI/UX, estrutura base em React, base de dados</w:t>
            </w:r>
          </w:p>
        </w:tc>
        <w:tc>
          <w:tcPr>
            <w:tcW w:w="1854" w:type="dxa"/>
          </w:tcPr>
          <w:p>
            <w:pPr/>
            <w:r>
              <w:t xml:space="preserve">18 dez, 23:59</w:t>
            </w:r>
          </w:p>
        </w:tc>
      </w:tr>
      <w:tr>
        <w:tc>
          <w:tcPr>
            <w:tcW w:w="869" w:type="dxa"/>
          </w:tcPr>
          <w:p>
            <w:pPr/>
            <w:r>
              <w:t xml:space="preserve">C</w:t>
            </w:r>
          </w:p>
        </w:tc>
        <w:tc>
          <w:tcPr>
            <w:tcW w:w="2018" w:type="dxa"/>
          </w:tcPr>
          <w:p>
            <w:pPr/>
            <w:r>
              <w:t xml:space="preserve">19 dez 2026 – 16 jan 2027</w:t>
            </w:r>
          </w:p>
        </w:tc>
        <w:tc>
          <w:tcPr>
            <w:tcW w:w="750" w:type="dxa"/>
          </w:tcPr>
          <w:p>
            <w:pPr/>
            <w:r>
              <w:t xml:space="preserve">50%</w:t>
            </w:r>
          </w:p>
        </w:tc>
        <w:tc>
          <w:tcPr>
            <w:tcW w:w="3868" w:type="dxa"/>
          </w:tcPr>
          <w:p>
            <w:pPr/>
            <w:r>
              <w:t xml:space="preserve">Funcionalidades completas, validação e testes</w:t>
            </w:r>
          </w:p>
        </w:tc>
        <w:tc>
          <w:tcPr>
            <w:tcW w:w="1854" w:type="dxa"/>
          </w:tcPr>
          <w:p>
            <w:pPr/>
            <w:r>
              <w:t xml:space="preserve">12 jan, 23:59 (+ poster)</w:t>
            </w:r>
          </w:p>
        </w:tc>
      </w:tr>
    </w:tbl>
    <w:p>
      <w:pPr/>
      <w:r>
        <w:t xml:space="preserve">Em cada sprint: as user stories obrigatórias, pelo menos 3 user stories extra propostas pela equipa, o relatório e um pitch de 10 min com debate com o cliente. Cada sprint vale: user stories 25%, extra 25%, relatório 10%, apresentação e defesa 40%. Faltar à apresentação significa não ser avaliado nesse sprint.</w:t>
      </w:r>
    </w:p>
    <w:p>
      <w:pPr/>
      <w:r>
        <w:t xml:space="preserve">O mesmo projeto é apresentado em BDDAD (14 jan), PROG3 (15 jan), SMUL1 (16 jan) e TINT2 (19 jan), e usa a estatística de TEPMS.</w:t>
      </w:r>
    </w:p>
    <w:p>
      <w:pPr>
        <w:pStyle w:val="Heading2"/>
      </w:pPr>
      <w:r>
        <w:t xml:space="preserve">Uso de IA</w:t>
      </w:r>
    </w:p>
    <w:p>
      <w:pPr/>
      <w:r>
        <w:t xml:space="preserve">A especificação define um sistema de semáforo; o que está a vermelho é proibido.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8"/>
        <w:gridCol w:w="2335"/>
        <w:gridCol w:w="5605"/>
      </w:tblGrid>
      <w:tr>
        <w:trPr>
          <w:tblHeader/>
        </w:trPr>
        <w:tc>
          <w:tcPr>
            <w:tcW w:w="1418" w:type="dxa"/>
            <w:shd w:val="clear" w:color="auto" w:fill="F2F2F2"/>
          </w:tcPr>
          <w:p>
            <w:pPr/>
            <w:r>
              <w:t xml:space="preserve">Semáforo</w:t>
            </w:r>
          </w:p>
        </w:tc>
        <w:tc>
          <w:tcPr>
            <w:tcW w:w="2335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5605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Verde</w:t>
            </w:r>
          </w:p>
        </w:tc>
        <w:tc>
          <w:tcPr>
            <w:tcW w:w="2335" w:type="dxa"/>
          </w:tcPr>
          <w:p>
            <w:pPr/>
            <w:r>
              <w:t xml:space="preserve">Uso livre</w:t>
            </w:r>
          </w:p>
        </w:tc>
        <w:tc>
          <w:tcPr>
            <w:tcW w:w="5605" w:type="dxa"/>
          </w:tcPr>
          <w:p>
            <w:pPr/>
            <w:r>
              <w:t xml:space="preserve">Comentários e documentação de código, README, dados fictícios para testes, frontend básico, tradução da interface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Amarelo</w:t>
            </w:r>
          </w:p>
        </w:tc>
        <w:tc>
          <w:tcPr>
            <w:tcW w:w="2335" w:type="dxa"/>
          </w:tcPr>
          <w:p>
            <w:pPr/>
            <w:r>
              <w:t xml:space="preserve">Com justificação</w:t>
            </w:r>
          </w:p>
        </w:tc>
        <w:tc>
          <w:tcPr>
            <w:tcW w:w="5605" w:type="dxa"/>
          </w:tcPr>
          <w:p>
            <w:pPr/>
            <w:r>
              <w:t xml:space="preserve">Componentes React complexos, queries SQL otimizadas, legibilidade do código, fórmulas e testes estatísticos, debugging, sugestões de testes, resumo e introdução do relatório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Vermelho</w:t>
            </w:r>
          </w:p>
        </w:tc>
        <w:tc>
          <w:tcPr>
            <w:tcW w:w="2335" w:type="dxa"/>
          </w:tcPr>
          <w:p>
            <w:pPr/>
            <w:r>
              <w:t xml:space="preserve">Proibido</w:t>
            </w:r>
          </w:p>
        </w:tc>
        <w:tc>
          <w:tcPr>
            <w:tcW w:w="5605" w:type="dxa"/>
          </w:tcPr>
          <w:p>
            <w:pPr/>
            <w:r>
              <w:t xml:space="preserve">Modelação e arquitetura, algoritmos base, POO e regras de negócio, análise e interpretação de resultados, desenvolvimento e conclusões do relatório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Projeto Interdisciplinar — Plataforma ALFAS</dc:title>
  <dc:description>Claude Docs node/a0bcb3a9-3a29@9 docx-w7</dc:description>
  <cp:revision>9</cp:revision>
</cp:coreProperties>
</file>