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Curso: </w:t>
      </w:r>
      <w:r w:rsidDel="00000000" w:rsidR="00000000" w:rsidRPr="00000000">
        <w:rPr>
          <w:sz w:val="24"/>
          <w:szCs w:val="24"/>
          <w:rtl w:val="0"/>
        </w:rPr>
        <w:t xml:space="preserve">Licenciatura em Engenharia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UC: </w:t>
      </w:r>
      <w:bookmarkStart w:colFirst="0" w:colLast="0" w:name="l1wne5u1tc4i" w:id="0"/>
      <w:bookmarkEnd w:id="0"/>
      <w:r w:rsidDel="00000000" w:rsidR="00000000" w:rsidRPr="00000000">
        <w:rPr>
          <w:sz w:val="24"/>
          <w:szCs w:val="24"/>
          <w:rtl w:val="0"/>
        </w:rPr>
        <w:t xml:space="preserve">História da Ciência e das Técnicas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Ano /Semestre</w:t>
      </w:r>
      <w:r w:rsidDel="00000000" w:rsidR="00000000" w:rsidRPr="00000000">
        <w:rPr>
          <w:sz w:val="24"/>
          <w:szCs w:val="24"/>
          <w:rtl w:val="0"/>
        </w:rPr>
        <w:t xml:space="preserve">: 1º Ano/2º Semestre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Data: </w:t>
      </w:r>
      <w:r w:rsidDel="00000000" w:rsidR="00000000" w:rsidRPr="00000000">
        <w:rPr>
          <w:sz w:val="24"/>
          <w:szCs w:val="24"/>
          <w:rtl w:val="0"/>
        </w:rPr>
        <w:t xml:space="preserve">18/05/2026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 e nomes dos estudantes: Tanjil Khan 2022189 e Ricardo Magalhães 2022149 Grupo 10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Mini-Relatório de resposta ao Cenário 8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resolver os problemas identificados na EcoMetal e transformar a fábrica numa unidade industrial sustentável, a Engenharia Informática pode intervir através de várias soluções tecnológicas integradas, focadas na eficiência e na redução da pegada carbónica.</w:t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Propomos algumas propostas fundamentais baseadas nas tecnologias e áreas de intervenção citadas nas fontes:</w:t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Gestão Inteligente de Consumos e Monitorização em Tempo Real (IoT e Big Data)</w:t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Problema: Máquinas ligadas sem necessidade e falta de monitorização.</w:t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Proposta: Implementação de uma rede de sensores Internet das Coisas (IoT) em todas as máquinas de corte e fornos industriais. Estes sensores permitem a monitorização ambiental e energética em tempo real, enviando dados para uma plataforma centralizada</w:t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Impacto: Através de automação industrial, o sistema pode desligar automaticamente equipamentos inativos ou colocá-los em modo de baixo consumo, eliminando o desperdício energético</w:t>
      </w:r>
    </w:p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Previsão Inteligente de Manutenção (Inteligência Artificial e IA)</w:t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Problema: Avarias e desperdício por falta de manutenção preventiva.</w:t>
      </w:r>
    </w:p>
    <w:p w:rsidR="00000000" w:rsidDel="00000000" w:rsidP="00000000" w:rsidRDefault="00000000" w:rsidRPr="00000000" w14:paraId="000000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Proposta: Utilização de algoritmos de Inteligência Artificial (IA) aplicada à energia e manutenção</w:t>
      </w:r>
    </w:p>
    <w:p w:rsidR="00000000" w:rsidDel="00000000" w:rsidP="00000000" w:rsidRDefault="00000000" w:rsidRPr="00000000" w14:paraId="0000001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Ao analisar os dados históricos e em tempo real das máquinas, o sistema pode prever falhas antes que ocorram.</w:t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Impacto: Evita paragens de produção inesperadas e garante que as máquinas funcionem com a máxima eficiência energética, reduzindo emissões indiretas</w:t>
      </w:r>
    </w:p>
    <w:p w:rsidR="00000000" w:rsidDel="00000000" w:rsidP="00000000" w:rsidRDefault="00000000" w:rsidRPr="00000000" w14:paraId="0000001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Otimização de Processos através de Gémeos Digitais (Digital Twins)</w:t>
      </w:r>
    </w:p>
    <w:p w:rsidR="00000000" w:rsidDel="00000000" w:rsidP="00000000" w:rsidRDefault="00000000" w:rsidRPr="00000000" w14:paraId="0000001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Problema: Desperdício de matérias-primas e energia.</w:t>
      </w:r>
    </w:p>
    <w:p w:rsidR="00000000" w:rsidDel="00000000" w:rsidP="00000000" w:rsidRDefault="00000000" w:rsidRPr="00000000" w14:paraId="0000001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Proposta: Criação de Gémeos Digitais da linha de produção</w:t>
      </w:r>
    </w:p>
    <w:p w:rsidR="00000000" w:rsidDel="00000000" w:rsidP="00000000" w:rsidRDefault="00000000" w:rsidRPr="00000000" w14:paraId="0000001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Esta tecnologia cria uma réplica virtual da fábrica, permitindo simular diferentes cenários de produção para encontrar a configuração que utiliza menos matéria-prima e energia.</w:t>
      </w:r>
    </w:p>
    <w:p w:rsidR="00000000" w:rsidDel="00000000" w:rsidP="00000000" w:rsidRDefault="00000000" w:rsidRPr="00000000" w14:paraId="0000001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Impacto: Permite otimizar o fluxo de trabalho antes de qualquer recurso físico ser gasto, promovendo a economia circular</w:t>
      </w:r>
    </w:p>
    <w:p w:rsidR="00000000" w:rsidDel="00000000" w:rsidP="00000000" w:rsidRDefault="00000000" w:rsidRPr="00000000" w14:paraId="0000001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Integração de Sistemas e Análise de Dados (Cibersegurança e Interoperabilidade)</w:t>
      </w:r>
    </w:p>
    <w:p w:rsidR="00000000" w:rsidDel="00000000" w:rsidP="00000000" w:rsidRDefault="00000000" w:rsidRPr="00000000" w14:paraId="0000001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Problema: Sistemas antigos que não comunicam entre si.</w:t>
      </w:r>
    </w:p>
    <w:p w:rsidR="00000000" w:rsidDel="00000000" w:rsidP="00000000" w:rsidRDefault="00000000" w:rsidRPr="00000000" w14:paraId="0000001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Proposta: Atualização dos sistemas informáticos para arquiteturas modernas e seguras (Cibersegurança), garantindo que todos os setores da fábrica (produção, logística e administração) partilhem dados</w:t>
      </w:r>
    </w:p>
    <w:p w:rsidR="00000000" w:rsidDel="00000000" w:rsidP="00000000" w:rsidRDefault="00000000" w:rsidRPr="00000000" w14:paraId="0000002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Impacto: Uma visão holística dos dados permite uma análise de dados ambientais mais precisa, facilitando a tomada de decisão para cumprir as metas da União Europeia</w:t>
      </w:r>
    </w:p>
    <w:p w:rsidR="00000000" w:rsidDel="00000000" w:rsidP="00000000" w:rsidRDefault="00000000" w:rsidRPr="00000000" w14:paraId="0000002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Logística Inteligente e Mobilidade Sustentável</w:t>
      </w:r>
    </w:p>
    <w:p w:rsidR="00000000" w:rsidDel="00000000" w:rsidP="00000000" w:rsidRDefault="00000000" w:rsidRPr="00000000" w14:paraId="0000002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Problema: Transporte interno e externo não otimizado.</w:t>
      </w:r>
    </w:p>
    <w:p w:rsidR="00000000" w:rsidDel="00000000" w:rsidP="00000000" w:rsidRDefault="00000000" w:rsidRPr="00000000" w14:paraId="0000002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Proposta: Utilização de software de otimização de rotas baseado em IA para a frota de transporte. Adicionalmente, a empresa pode planear a transição para veículos movidos a hidrogénio verde ou elétricos, inspirando-se em casos como o Sines Green Hydrogen Valley ou o MetroBus do Porto</w:t>
      </w:r>
    </w:p>
    <w:p w:rsidR="00000000" w:rsidDel="00000000" w:rsidP="00000000" w:rsidRDefault="00000000" w:rsidRPr="00000000" w14:paraId="0000002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Impacto: Redução direta do consumo de combustíveis fósseis e das emissões de CO₂ associadas à logística</w:t>
      </w:r>
    </w:p>
    <w:p w:rsidR="00000000" w:rsidDel="00000000" w:rsidP="00000000" w:rsidRDefault="00000000" w:rsidRPr="00000000" w14:paraId="0000002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Exploração de Tecnologias de Captura (CCS/CCU)</w:t>
      </w:r>
    </w:p>
    <w:p w:rsidR="00000000" w:rsidDel="00000000" w:rsidP="00000000" w:rsidRDefault="00000000" w:rsidRPr="00000000" w14:paraId="0000002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Problema: Emissões elevadas dos fornos industriais.</w:t>
      </w:r>
    </w:p>
    <w:p w:rsidR="00000000" w:rsidDel="00000000" w:rsidP="00000000" w:rsidRDefault="00000000" w:rsidRPr="00000000" w14:paraId="0000002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Proposta: A Engenharia Informática pode gerir sistemas de Captura e Utilização de Carbono (CCU)</w:t>
      </w:r>
    </w:p>
    <w:p w:rsidR="00000000" w:rsidDel="00000000" w:rsidP="00000000" w:rsidRDefault="00000000" w:rsidRPr="00000000" w14:paraId="0000002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O CO₂ capturado nos fornos poderia ser monitorizado digitalmente e vendido como matéria-prima para outras indústrias (produção de químicos ou fertilizantes), valorizando o resíduo</w:t>
      </w:r>
    </w:p>
    <w:p w:rsidR="00000000" w:rsidDel="00000000" w:rsidP="00000000" w:rsidRDefault="00000000" w:rsidRPr="00000000" w14:paraId="0000002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suma, a transição da EcoMetal depende da capacidade de converter dados em decisões inteligentes, utilizando a IA, IoT e Big Data para maximizar a eficiência e minimizar o impacto ambiental</w:t>
      </w:r>
    </w:p>
    <w:p w:rsidR="00000000" w:rsidDel="00000000" w:rsidP="00000000" w:rsidRDefault="00000000" w:rsidRPr="00000000" w14:paraId="0000002F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1f497d"/>
        <w:sz w:val="22"/>
        <w:szCs w:val="22"/>
        <w:u w:val="none"/>
        <w:shd w:fill="auto" w:val="clear"/>
        <w:vertAlign w:val="baseline"/>
        <w:rtl w:val="0"/>
      </w:rPr>
      <w:t xml:space="preserve">|||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ISTEC do Porto - Instituto Superior de Tecnologias Avançadas do Porto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1f497d"/>
        <w:sz w:val="22"/>
        <w:szCs w:val="22"/>
        <w:u w:val="none"/>
        <w:shd w:fill="auto" w:val="clear"/>
        <w:vertAlign w:val="baseline"/>
        <w:rtl w:val="0"/>
      </w:rPr>
      <w:t xml:space="preserve">|||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ISTEC do Porto - Instituto Superior de Tecnologias Avançadas do Porto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-550544</wp:posOffset>
          </wp:positionH>
          <wp:positionV relativeFrom="margin">
            <wp:posOffset>-702944</wp:posOffset>
          </wp:positionV>
          <wp:extent cx="2381250" cy="601345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81250" cy="6013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-550544</wp:posOffset>
          </wp:positionH>
          <wp:positionV relativeFrom="margin">
            <wp:posOffset>-702944</wp:posOffset>
          </wp:positionV>
          <wp:extent cx="2381250" cy="60134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81250" cy="6013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</w:pPr>
    <w:rPr>
      <w:rFonts w:ascii="Liberation Serif" w:cs="Liberation Serif" w:eastAsia="Liberation Serif" w:hAnsi="Liberation Serif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