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Canonical Contract Schema Outline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Purpose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outline describes the core data structure that the ingestion/mapping layer should produce before data is handed off to the ARR and reporting application.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goal is to support source data coming from different ERP systems, accounting tools, and spreadsheets while preserving the contract details needed for accurate ARR treatment.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Why a Canonical Schema Matters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Different companies export data differently. Column names, file shapes, and conventions will vary. The system therefore needs a standard internal model that captures the meaning of the contract, not just the raw source format.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creates a clean separation: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 ingestion layer handles source variation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 ARR tool handles calculations, review, adjustments, and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Recommended Core Entities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1. Company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the customer organization using the tool.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company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company name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timezone / default currency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accounting conventions if needed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2. Source Import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Tracks where imported records came from.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Purpose: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preserve lineage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support auditability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make reprocessing possible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import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source system name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source file name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import timestamp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uploaded by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mapping template used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processing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warnings/errors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 Logo / Parent Customer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the broader commercial parent relationship.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is important for enterprise reporting because one logo may contain many sites, subsidiaries, or acquired entities.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logo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logo name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parent commercial account identifier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CRM parent account id if applicable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4. Site / Account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the site-level, subsidiary-level, or billing-level entity in the revenue dataset.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allows the system to distinguish between a parent enterprise logo and the specific local entities that sign contracts, receive invoices, or hold licenses.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site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site name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logo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ERP/customer external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CRM account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billing/legal entity details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parent account if applicable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region / segment if useful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the commercial agreement at a contract level.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site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logo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source contract number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effective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signature date if available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start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end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renewal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scope (site-specific, multi-site, enterprise-wide)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currency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auto-renew flag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notice period if applicable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early-out / cancellation-right description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earliest cancellation date or milestone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6. Contract Line / SKU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the line-level products or services sold within a contract.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is one of the most important entities because ARR treatment often happens at the SKU or line level.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line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source line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SKU / product code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 name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 family /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service type / revenue type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quantity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unit price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total booked amount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line start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line end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line-level cancellation date if different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method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term length in months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active / cancelled / pending renewal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 Billing Schedule / Milestone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when and how the customer is billed.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should be separate from the contract line itself because many contracts have milestone or installment billing that does not map 1:1 to simple monthly recurring patterns.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schedule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line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event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amount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invoice date if available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invoice number if available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type (monthly, annual upfront, milestone, one-time, etc.)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deferred revenue flag if relevant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 Revenue Recognition Schedule (Optional Derived Layer)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how revenue should be recognized over time if this needs to be explicitly stored or reviewed.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may be derived from billing and contract terms rather than imported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line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period start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period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recognized revenue amount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deferred revenue movement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9. Cancellation / Early-Out Terms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structured contract termination rights.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Brian’s note strongly suggests this should not live only as free text.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id or contract line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earliest cancel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notice deadline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penalty / fee if applicable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early-out condition type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free-text clause notes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mapped confidence level if parsed from messy source data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10. Mapping / Normalization Metadata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Stores how a raw source field was interpreted.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Purpose: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support review when imports are ambiguous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make mappings reusable across companies/source systems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source column name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mapped target field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transformation rule applied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default assumptions used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confidence level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unresolved ambiguity flag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11. Manual Adjustment / Override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user intervention after 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Purpose: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allow finance teams to resolve ambiguity intentionally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preserve original values and audit trail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adjustment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affected record type/id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original value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adjusted value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reason note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changed by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changed 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approval status if needed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Fields Most Critical for ARR Logic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At minimum, the normalized schema should reliably capture: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identity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identifier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effective/start/end 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SKU / product sold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line-level service 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dates and amounts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cancellation dates / early-out rights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status changes (renewed, cancelled, contracted, expanded)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product/service classification needed for ARR rules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Without these, ARR outputs may become inconsistent or require too many manual workarounds.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Suggested Processing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Step 1 - Import Raw Source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ERP export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accounting system export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spreadsheet upload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QuickBooks or other connector output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Step 2 - Map to Canonical Schema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map source columns to standard fields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transform dates, currency, statuses, and product names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identify missing or uncertain fields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Step 3 - Review Ambiguities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flag unmapped SKUs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flag missing effective 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flag unclear cancellation terms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flag unusual billing schedules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Step 4 - Produce Standardized Dataset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becomes the clean handoff into the ARR/reporting app.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Step 5 - Calculate ARR and Reporting Outputs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ARR tool should consume this standardized structure rather than the original messy source files.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Design Principle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ingestion layer should preserve two things at once: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 cleaned canonical structure needed for calculations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 source lineage needed for traceability and troubleshooting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That means the system should always be able to answer: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where did this value come from?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how was it mapped?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was it adjusted manually?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Bottom 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ingestion layer should normalize source exports into a contract-aware schema built around: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logos / parent customers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sites / billing entities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lines / SKUs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schedules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cancellation / early-out terms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contract scope / rollup behavior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source lineage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manual adjustment metadata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That gives the ARR application a stable foundation and keeps the reporting logic from being overloaded with source-format chaos.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12. Notes / Issues (Recommended)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Represents lightweight business comments, pending renewal notes, and issue tracking tied to customers, contracts, or review items.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examples: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note 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related entity type/id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owner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note/comment 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created by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created at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CocoaOOXMLWriter/2685.2</generator>
</meta>
</file>