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Canonical Contract Schema Outline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Purpose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outline describes the core data structure that the ingestion/mapping layer should produce before data is handed off to the ARR and reporting application.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goal is to support source data coming from different ERP systems, accounting tools, and spreadsheets while preserving the contract details needed for accurate ARR treatment.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Why a Canonical Schema Matters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Different companies export data differently. Column names, file shapes, and conventions will vary. The system therefore needs a standard internal model that captures the meaning of the contract, not just the raw source format.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creates a clean separation: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ingestion layer handles source variation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ARR tool handles calculations, review, adjustments, and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Recommended Core Entities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1. Company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customer organization using the tool.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company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company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timezone / default currency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accounting conventions if needed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2. Source 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Tracks where imported records came from.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Purpose: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preserve lineage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support auditability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make reprocessing possible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import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system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file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import timestamp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uploaded by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mapping template used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processing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warnings/errors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 Logo / Parent Customer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broader commercial parent relationship.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is important for enterprise reporting because one logo may contain many sites, subsidiaries, or acquired entities.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parent commercial account identifier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CRM parent account id if applicable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 Site /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site-level, subsidiary-level, or billing-level entity in the revenue dataset.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allows the system to distinguish between a parent enterprise logo and the specific local entities that sign contracts, receive invoices, or hold licenses.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site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site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ERP/customer external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CRM account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billing/legal entity details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parent account if applicable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region / segment if useful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commercial agreement at a contract level.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site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contract number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effective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signature date if available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start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end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renewal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scope (site-specific, multi-site, enterprise-wide)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auto-renew flag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notice period if applicable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early-out / cancellation-right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earliest cancellation date or milestone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6. Contract Line / SKU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line-level products or services sold within a contract.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is one of the most important entities because ARR treatment often happens at the SKU or line level.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SKU / product 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family /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service type / revenue type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quantity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unit price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total booked amount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line start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line end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line-level cancellation date if different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method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term length in months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active / cancelled / pending renewal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 Billing Schedule / Milestone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when and how the customer is billed.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should be separate from the contract line itself because many contracts have milestone or installment billing that does not map 1:1 to simple monthly recurring patterns.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schedule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event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amount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invoice date if available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invoice number if available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type (monthly, annual upfront, milestone, one-time, etc.)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deferred revenue flag if relevant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 Revenue Recognition Schedule (Optional Derived Layer)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how revenue should be recognized over time if this needs to be explicitly stored or reviewed.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may be derived from billing and contract terms rather than imported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period start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period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recognized revenue amount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deferred revenue movement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9. Cancellation / Early-Out Terms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structured contract termination rights.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Brian’s note strongly suggests this should not live only as free 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id or contract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earliest cancel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notice deadline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penalty / fee if applicable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early-out condition type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free-text clause 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mapped confidence level if parsed from messy source 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10. Mapping / Normalization Metadata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Stores how a raw source field was interpreted.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Purpose: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support review when imports are ambiguous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make mappings reusable across companies/source systems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column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mapped target field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transformation rule applied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default assumptions used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confidence level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unresolved ambiguity flag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11. Manual Adjustment / Override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user intervention after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Purpose: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allow finance teams to resolve ambiguity intentionally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preserve original values and audit trail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adjustment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affected record type/id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original value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adjusted value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reason note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changed by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changed 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approval status if needed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Fields Most Critical for ARR Logic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At minimum, the normalized schema should reliably capture: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identity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identifier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effective/start/end 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SKU / product sold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line-level service 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dates and amounts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cancellation dates / early-out rights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status changes (renewed, cancelled, contracted, expanded)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product/service classification needed for ARR rules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Without these, ARR outputs may become inconsistent or require too many manual workarounds.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Suggested Processing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1 - Import Raw Source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ERP export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accounting system export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spreadsheet upload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QuickBooks or other connector output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2 - Map to Canonical Schema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map source columns to standard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transform dates, currency, statuses, and product names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identify missing or uncertain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3 - Review Ambiguities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flag unmapped SKUs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flag missing effective 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flag unclear cancellation terms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flag unusual billing schedules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4 - Produce Standardized Dataset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becomes the clean handoff into the ARR/reporting app.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5 - Calculate ARR and Reporting Outputs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ARR tool should consume this standardized structure rather than the original messy source files.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Design Principle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ingestion layer should preserve two things at once: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cleaned canonical structure needed for calculations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source lineage needed for traceability and troubleshooting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That means the system should always be able to answer: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where did this value come from?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how was it mapped?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was it adjusted manually?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Bottom 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ingestion layer should normalize source exports into a contract-aware schema built around: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logos / parent customers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sites / billing entities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lines / SKUs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schedules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cancellation / early-out terms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scope / rollup behavior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lineage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manual adjustment metadata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That gives the ARR application a stable foundation and keeps the reporting logic from being overloaded with source-format chaos.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CocoaOOXMLWriter/2685.2</generator>
</meta>
</file>