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2.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Polygenic</w:t>
      </w:r>
      <w:r>
        <w:t xml:space="preserve"> </w:t>
      </w:r>
      <w:r>
        <w:t xml:space="preserve">prediction</w:t>
      </w:r>
      <w:r>
        <w:t xml:space="preserve"> </w:t>
      </w:r>
      <w:r>
        <w:t xml:space="preserve">of</w:t>
      </w:r>
      <w:r>
        <w:t xml:space="preserve"> </w:t>
      </w:r>
      <w:r>
        <w:t xml:space="preserve">coronary</w:t>
      </w:r>
      <w:r>
        <w:t xml:space="preserve"> </w:t>
      </w:r>
      <w:r>
        <w:t xml:space="preserve">artery</w:t>
      </w:r>
      <w:r>
        <w:t xml:space="preserve"> </w:t>
      </w:r>
      <w:r>
        <w:t xml:space="preserve">disease</w:t>
      </w:r>
      <w:r>
        <w:t xml:space="preserve"> </w:t>
      </w:r>
      <w:r>
        <w:t xml:space="preserve">among</w:t>
      </w:r>
      <w:r>
        <w:t xml:space="preserve"> </w:t>
      </w:r>
      <w:r>
        <w:t xml:space="preserve">130,000</w:t>
      </w:r>
      <w:r>
        <w:t xml:space="preserve"> </w:t>
      </w:r>
      <w:r>
        <w:t xml:space="preserve">Mexican</w:t>
      </w:r>
      <w:r>
        <w:t xml:space="preserve"> </w:t>
      </w:r>
      <w:r>
        <w:t xml:space="preserve">adults</w:t>
      </w:r>
    </w:p>
    <w:p>
      <w:pPr>
        <w:pStyle w:val="Author"/>
      </w:pPr>
      <w:r>
        <w:t xml:space="preserve">Tianshu</w:t>
      </w:r>
      <w:r>
        <w:t xml:space="preserve"> </w:t>
      </w:r>
      <w:r>
        <w:t xml:space="preserve">Liu</w:t>
      </w:r>
    </w:p>
    <w:p>
      <w:pPr>
        <w:pStyle w:val="Date"/>
      </w:pPr>
      <w:r>
        <w:t xml:space="preserve">2024-06-03</w:t>
      </w:r>
    </w:p>
    <w:p>
      <w:r>
        <w:br w:type="page"/>
      </w:r>
    </w:p>
    <w:p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0b1bf3b6-e4bf-40f5-9684-5fd5779d787b" w:name="table1"/>
      <w:r>
        <w:rPr>
          <w:rFonts/>
          <w:b w:val="true"/>
        </w:rPr>
        <w:fldChar w:fldCharType="begin" w:dirty="true"/>
      </w:r>
      <w:r>
        <w:rPr>
          <w:rFonts/>
          <w:b w:val="true"/>
        </w:rPr>
        <w:instrText xml:space="preserve" w:dirty="true">SEQ tab \* Arabic</w:instrText>
      </w:r>
      <w:r>
        <w:rPr>
          <w:rFonts/>
          <w:b w:val="true"/>
        </w:rPr>
        <w:fldChar w:fldCharType="end" w:dirty="true"/>
      </w:r>
      <w:bookmarkEnd w:id="0b1bf3b6-e4bf-40f5-9684-5fd5779d787b"/>
      <w:r>
        <w:rPr>
          <w:rFonts/>
          <w:b w:val="true"/>
        </w:rPr>
        <w:t xml:space="preserve">: </w:t>
      </w:r>
      <w:r>
        <w:t xml:space="preserve">Baseline Characteristics of men and women aged 35-80 years</w:t>
      </w:r>
    </w:p>
    <w:tbl xmlns:w14="http://schemas.microsoft.com/office/word/2010/wordml">
      <w:tblPr>
        <w:tblLayout w:type="autofit"/>
        <w:jc w:val="center"/>
        <w:tblW w:type="pct" w:w="0"/>
        <w:tblLook w:firstRow="1" w:lastRow="0" w:firstColumn="0" w:lastColumn="0" w:noHBand="0" w:noVBand="1"/>
      </w:tblPr>
      <w:tr>
        <w:trPr>
          <w:trHeight w:val="607" w:hRule="auto"/>
          <w:tblHeader/>
        </w:trPr>
        header 1
        <w:tc>
          <w:tcPr>
            <w:tcBorders>
              <w:bottom w:val="none" w:sz="0"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true"/>
                <w:u w:val="none"/>
                <w:sz w:val="16"/>
                <w:szCs w:val="16"/>
                <w:color w:val="000000"/>
              </w:rPr>
              <w:t xml:space="preserve">Characteristic</w:t>
            </w:r>
          </w:p>
        </w:tc>
        <w:tc>
          <w:tcPr>
            <w:gridSpan w:val="3"/>
            <w:tcBorders>
              <w:bottom w:val="single" w:sz="16"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true"/>
                <w:u w:val="none"/>
                <w:sz w:val="16"/>
                <w:szCs w:val="16"/>
                <w:color w:val="000000"/>
              </w:rPr>
              <w:t xml:space="preserve">Sex</w:t>
            </w:r>
          </w:p>
        </w:tc>
      </w:tr>
      <w:tr>
        <w:trPr>
          <w:trHeight w:val="607" w:hRule="auto"/>
          <w:tblHeader/>
        </w:trPr>
        header 2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true"/>
                <w:u w:val="none"/>
                <w:sz w:val="16"/>
                <w:szCs w:val="16"/>
                <w:color w:val="000000"/>
              </w:rPr>
              <w:t xml:space="preserve"> </w:t>
            </w:r>
          </w:p>
        </w:tc>
        <w:tc>
          <w:tcPr>
            <w:tcBorders>
              <w:bottom w:val="single" w:sz="16"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true"/>
                <w:u w:val="none"/>
                <w:sz w:val="16"/>
                <w:szCs w:val="16"/>
                <w:color w:val="000000"/>
              </w:rPr>
              <w:t xml:space="preserve">Men (N=43,548)</w:t>
            </w:r>
          </w:p>
        </w:tc>
        <w:tc>
          <w:tcPr>
            <w:tcBorders>
              <w:bottom w:val="single" w:sz="16"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true"/>
                <w:u w:val="none"/>
                <w:sz w:val="16"/>
                <w:szCs w:val="16"/>
                <w:color w:val="000000"/>
              </w:rPr>
              <w:t xml:space="preserve">Women (N=90,161)</w:t>
            </w:r>
          </w:p>
        </w:tc>
        <w:tc>
          <w:tcPr>
            <w:tcBorders>
              <w:bottom w:val="single" w:sz="16"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true"/>
                <w:u w:val="none"/>
                <w:sz w:val="16"/>
                <w:szCs w:val="16"/>
                <w:color w:val="000000"/>
              </w:rPr>
              <w:t xml:space="preserve">All (N=133,709)</w:t>
            </w:r>
          </w:p>
        </w:tc>
      </w:tr>
      <w:tr>
        <w:trPr>
          <w:trHeight w:val="623" w:hRule="auto"/>
        </w:trPr>
        body 1
        <w:tc>
          <w:tcPr>
            <w:tcBorders>
              <w:bottom w:val="single" w:sz="8"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true"/>
                <w:u w:val="none"/>
                <w:sz w:val="16"/>
                <w:szCs w:val="16"/>
                <w:color w:val="000000"/>
              </w:rPr>
              <w:t xml:space="preserve">Age,years, Mean(SD)</w:t>
            </w:r>
          </w:p>
        </w:tc>
        <w:tc>
          <w:tcPr>
            <w:tcBorders>
              <w:bottom w:val="single" w:sz="8"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52.1 (12.1)</w:t>
            </w:r>
          </w:p>
        </w:tc>
        <w:tc>
          <w:tcPr>
            <w:tcBorders>
              <w:bottom w:val="single" w:sz="8"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50.9 (11.7)</w:t>
            </w:r>
          </w:p>
        </w:tc>
        <w:tc>
          <w:tcPr>
            <w:tcBorders>
              <w:bottom w:val="single" w:sz="8"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51.3 (11.8)</w:t>
            </w:r>
          </w:p>
        </w:tc>
      </w:tr>
      <w:tr>
        <w:trPr>
          <w:trHeight w:val="624" w:hRule="auto"/>
        </w:trPr>
        body 2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true"/>
                <w:u w:val="none"/>
                <w:sz w:val="16"/>
                <w:szCs w:val="16"/>
                <w:color w:val="000000"/>
              </w:rPr>
              <w:t xml:space="preserve">District (Coyoacan), N(%)</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18,050 (41.4%)</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33,157 (36.8%)</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51,207 (38.3%)</w:t>
            </w:r>
          </w:p>
        </w:tc>
      </w:tr>
      <w:tr>
        <w:trPr>
          <w:trHeight w:val="624" w:hRule="auto"/>
        </w:trPr>
        body 3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true"/>
                <w:u w:val="none"/>
                <w:sz w:val="16"/>
                <w:szCs w:val="16"/>
                <w:color w:val="000000"/>
              </w:rPr>
              <w:t xml:space="preserve">Ancestry admixture proportion, Mean(SD)</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r>
      <w:tr>
        <w:trPr>
          <w:trHeight w:val="624" w:hRule="auto"/>
        </w:trPr>
        body 4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Indigenous American</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0.66 (0.18)</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0.67 (0.18)</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0.67 (0.18)</w:t>
            </w:r>
          </w:p>
        </w:tc>
      </w:tr>
      <w:tr>
        <w:trPr>
          <w:trHeight w:val="607" w:hRule="auto"/>
        </w:trPr>
        body 5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African</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0.03 (0.03)</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0.03 (0.03)</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0.03 (0.03)</w:t>
            </w:r>
          </w:p>
        </w:tc>
      </w:tr>
      <w:tr>
        <w:trPr>
          <w:trHeight w:val="607" w:hRule="auto"/>
        </w:trPr>
        body 6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East Asian</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0.01 (0.02)</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0.01 (0.02)</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0.01 (0.02)</w:t>
            </w:r>
          </w:p>
        </w:tc>
      </w:tr>
      <w:tr>
        <w:trPr>
          <w:trHeight w:val="617" w:hRule="auto"/>
        </w:trPr>
        body 7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European</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0.29 (0.16)</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0.28 (0.16)</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0.28 (0.16)</w:t>
            </w:r>
          </w:p>
        </w:tc>
      </w:tr>
      <w:tr>
        <w:trPr>
          <w:trHeight w:val="607" w:hRule="auto"/>
        </w:trPr>
        body 8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true"/>
                <w:u w:val="none"/>
                <w:sz w:val="16"/>
                <w:szCs w:val="16"/>
                <w:color w:val="000000"/>
              </w:rPr>
              <w:t xml:space="preserve">Education level, N(%)</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r>
      <w:tr>
        <w:trPr>
          <w:trHeight w:val="624" w:hRule="auto"/>
        </w:trPr>
        body 9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University/College</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10,367 (23.8%)</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10,380 (11.5%)</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20,747 (15.5%)</w:t>
            </w:r>
          </w:p>
        </w:tc>
      </w:tr>
      <w:tr>
        <w:trPr>
          <w:trHeight w:val="624" w:hRule="auto"/>
        </w:trPr>
        body10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High school</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11,499 (26.4%)</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22,004 (24.4%)</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33,503 (25.1%)</w:t>
            </w:r>
          </w:p>
        </w:tc>
      </w:tr>
      <w:tr>
        <w:trPr>
          <w:trHeight w:val="624" w:hRule="auto"/>
        </w:trPr>
        body11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Elementary</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18,017 (41.4%)</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45,175 (50.1%)</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63,192 (47.3%)</w:t>
            </w:r>
          </w:p>
        </w:tc>
      </w:tr>
      <w:tr>
        <w:trPr>
          <w:trHeight w:val="607" w:hRule="auto"/>
        </w:trPr>
        body12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Other</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3,653 ( 8.4%)</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12,546 (13.9%)</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16,199 (12.1%)</w:t>
            </w:r>
          </w:p>
        </w:tc>
      </w:tr>
      <w:tr>
        <w:trPr>
          <w:trHeight w:val="624" w:hRule="auto"/>
        </w:trPr>
        body13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true"/>
                <w:u w:val="none"/>
                <w:sz w:val="16"/>
                <w:szCs w:val="16"/>
                <w:color w:val="000000"/>
              </w:rPr>
              <w:t xml:space="preserve">Leisure-time physical activity, N(%)</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r>
      <w:tr>
        <w:trPr>
          <w:trHeight w:val="607" w:hRule="auto"/>
        </w:trPr>
        body14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None</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30,548 (70.2%)</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73,337 (81.4%)</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103,885 (77.7%)</w:t>
            </w:r>
          </w:p>
        </w:tc>
      </w:tr>
      <w:tr>
        <w:trPr>
          <w:trHeight w:val="607" w:hRule="auto"/>
        </w:trPr>
        body15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&lt; Once a week</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1,291 (3.0%)</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762 (0.8%)</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2,053 (1.5%)</w:t>
            </w:r>
          </w:p>
        </w:tc>
      </w:tr>
      <w:tr>
        <w:trPr>
          <w:trHeight w:val="607" w:hRule="auto"/>
        </w:trPr>
        body16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1-2 times a week</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4,423 (10.2%)</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3,889 ( 4.3%)</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8,312 (6.2%)</w:t>
            </w:r>
          </w:p>
        </w:tc>
      </w:tr>
      <w:tr>
        <w:trPr>
          <w:trHeight w:val="607" w:hRule="auto"/>
        </w:trPr>
        body17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At least 3 times a week</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7,277 (16.7%)</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12,150 (13.5%)</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19,427 (14.5%)</w:t>
            </w:r>
          </w:p>
        </w:tc>
      </w:tr>
      <w:tr>
        <w:trPr>
          <w:trHeight w:val="624" w:hRule="auto"/>
        </w:trPr>
        body18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true"/>
                <w:u w:val="none"/>
                <w:sz w:val="16"/>
                <w:szCs w:val="16"/>
                <w:color w:val="000000"/>
              </w:rPr>
              <w:t xml:space="preserve">Smoking status, N(%)</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r>
      <w:tr>
        <w:trPr>
          <w:trHeight w:val="607" w:hRule="auto"/>
        </w:trPr>
        body19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Never</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8,762 (20.1%)</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56,061 (62.2%)</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64,823 (48.5%)</w:t>
            </w:r>
          </w:p>
        </w:tc>
      </w:tr>
      <w:tr>
        <w:trPr>
          <w:trHeight w:val="607" w:hRule="auto"/>
        </w:trPr>
        body20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Ex-smoker</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13,123 (30.2%)</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13,162 (14.6%)</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26,285 (19.7%)</w:t>
            </w:r>
          </w:p>
        </w:tc>
      </w:tr>
      <w:tr>
        <w:trPr>
          <w:trHeight w:val="624" w:hRule="auto"/>
        </w:trPr>
        body21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Current (&lt;daily)</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6,866 (15.8%)</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8,126 ( 9.0%)</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14,992 (11.2%)</w:t>
            </w:r>
          </w:p>
        </w:tc>
      </w:tr>
      <w:tr>
        <w:trPr>
          <w:trHeight w:val="624" w:hRule="auto"/>
        </w:trPr>
        body22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Current (&lt;10/day)</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9,072 (20.9%)</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9,772 (10.8%)</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18,844 (14.1%)</w:t>
            </w:r>
          </w:p>
        </w:tc>
      </w:tr>
      <w:tr>
        <w:trPr>
          <w:trHeight w:val="624" w:hRule="auto"/>
        </w:trPr>
        body23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Current (&gt;=10/day)</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5,687 (13.1%)</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2,968 ( 3.3%)</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8,655 (6.5%)</w:t>
            </w:r>
          </w:p>
        </w:tc>
      </w:tr>
      <w:tr>
        <w:trPr>
          <w:trHeight w:val="607" w:hRule="auto"/>
        </w:trPr>
        body24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true"/>
                <w:u w:val="none"/>
                <w:sz w:val="16"/>
                <w:szCs w:val="16"/>
                <w:color w:val="000000"/>
              </w:rPr>
              <w:t xml:space="preserve">Alcohol intake, N(%)</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r>
      <w:tr>
        <w:trPr>
          <w:trHeight w:val="607" w:hRule="auto"/>
        </w:trPr>
        body25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Never</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2,672 ( 6.1%)</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23,543 (26.1%)</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26,215 (19.6%)</w:t>
            </w:r>
          </w:p>
        </w:tc>
      </w:tr>
      <w:tr>
        <w:trPr>
          <w:trHeight w:val="607" w:hRule="auto"/>
        </w:trPr>
        body26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Former</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7,630 (17.5%)</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10,687 (11.9%)</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18,317 (13.7%)</w:t>
            </w:r>
          </w:p>
        </w:tc>
      </w:tr>
      <w:tr>
        <w:trPr>
          <w:trHeight w:val="624" w:hRule="auto"/>
        </w:trPr>
        body27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up to 3 times a month</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26,827 (61.6%)</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53,987 (59.9%)</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80,814 (60.4%)</w:t>
            </w:r>
          </w:p>
        </w:tc>
      </w:tr>
      <w:tr>
        <w:trPr>
          <w:trHeight w:val="624" w:hRule="auto"/>
        </w:trPr>
        body28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up to 2 times a week</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4,569 (10.5%)</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1,448 ( 1.6%)</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6,017 (4.5%)</w:t>
            </w:r>
          </w:p>
        </w:tc>
      </w:tr>
      <w:tr>
        <w:trPr>
          <w:trHeight w:val="607" w:hRule="auto"/>
        </w:trPr>
        body29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3+ times a week</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1,832 (4.2%)</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464 (0.5%)</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2,296 (1.7%)</w:t>
            </w:r>
          </w:p>
        </w:tc>
      </w:tr>
      <w:tr>
        <w:trPr>
          <w:trHeight w:val="624" w:hRule="auto"/>
        </w:trPr>
        body30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true"/>
                <w:u w:val="none"/>
                <w:sz w:val="16"/>
                <w:szCs w:val="16"/>
                <w:color w:val="000000"/>
              </w:rPr>
              <w:t xml:space="preserve">Physiological measures, Mean(SD)</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r>
      <w:tr>
        <w:trPr>
          <w:trHeight w:val="623" w:hRule="auto"/>
        </w:trPr>
        body31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SBP(mmHg)</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129 (15.8)</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127 (17.0)</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127 (16.6)</w:t>
            </w:r>
          </w:p>
        </w:tc>
      </w:tr>
      <w:tr>
        <w:trPr>
          <w:trHeight w:val="623" w:hRule="auto"/>
        </w:trPr>
        body32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DBP(mmHg)</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84 ( 9.94)</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82 (10.3)</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83 (10.2)</w:t>
            </w:r>
          </w:p>
        </w:tc>
      </w:tr>
      <w:tr>
        <w:trPr>
          <w:trHeight w:val="624" w:hRule="auto"/>
        </w:trPr>
        body33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BMI(kg/m²)</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28.0 (4.35)</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29.7 (5.30)</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29.1 (5.07)</w:t>
            </w:r>
          </w:p>
        </w:tc>
      </w:tr>
      <w:tr>
        <w:trPr>
          <w:trHeight w:val="624" w:hRule="auto"/>
        </w:trPr>
        body34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Waist to Hip Ratio</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0.95 (0.07)</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0.88 (0.07)</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0.90 (0.08)</w:t>
            </w:r>
          </w:p>
        </w:tc>
      </w:tr>
      <w:tr>
        <w:trPr>
          <w:trHeight w:val="607" w:hRule="auto"/>
        </w:trPr>
        body35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NMR measured HDL-C (nm)</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0.94 (0.20)</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1.04 (0.22)</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1.01 (0.22)</w:t>
            </w:r>
          </w:p>
        </w:tc>
      </w:tr>
      <w:tr>
        <w:trPr>
          <w:trHeight w:val="607" w:hRule="auto"/>
        </w:trPr>
        body36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NMR measured LDL-C(nm)</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1.70 (0.50)</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1.75 (0.50)</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1.73 (0.50)</w:t>
            </w:r>
          </w:p>
        </w:tc>
      </w:tr>
      <w:tr>
        <w:trPr>
          <w:trHeight w:val="607" w:hRule="auto"/>
        </w:trPr>
        body37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HbA1c (%)</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6.10 (1.72)</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6.10 (1.71)</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6.10 (1.71)</w:t>
            </w:r>
          </w:p>
        </w:tc>
      </w:tr>
      <w:tr>
        <w:trPr>
          <w:trHeight w:val="624" w:hRule="auto"/>
        </w:trPr>
        body38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true"/>
                <w:u w:val="none"/>
                <w:sz w:val="16"/>
                <w:szCs w:val="16"/>
                <w:color w:val="000000"/>
              </w:rPr>
              <w:t xml:space="preserve">Reoprted medical history, N(%)</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w:r>
          </w:p>
        </w:tc>
      </w:tr>
      <w:tr>
        <w:trPr>
          <w:trHeight w:val="624" w:hRule="auto"/>
        </w:trPr>
        body39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Coronary Artery Disease</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852 (2.0%)</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1,060 (1.2%)</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1,912 (1.4%)</w:t>
            </w:r>
          </w:p>
        </w:tc>
      </w:tr>
      <w:tr>
        <w:trPr>
          <w:trHeight w:val="607" w:hRule="auto"/>
        </w:trPr>
        body40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Cardiovascular Disease</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1,305 (3.0%)</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1,937 (2.1%)</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3,242 (2.4%)</w:t>
            </w:r>
          </w:p>
        </w:tc>
      </w:tr>
      <w:tr>
        <w:trPr>
          <w:trHeight w:val="607" w:hRule="auto"/>
        </w:trPr>
        body41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Cancer</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267 (0.6%)</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1,318 (1.5%)</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1,585 (1.2%)</w:t>
            </w:r>
          </w:p>
        </w:tc>
      </w:tr>
      <w:tr>
        <w:trPr>
          <w:trHeight w:val="624" w:hRule="auto"/>
        </w:trPr>
        body42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Diabetes (HBA1C&gt;6.5%, self-report or medication use)</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8,312 (19.1%)</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16,647 (18.5%)</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24,959 (18.7%)</w:t>
            </w:r>
          </w:p>
        </w:tc>
      </w:tr>
      <w:tr>
        <w:trPr>
          <w:trHeight w:val="607" w:hRule="auto"/>
        </w:trPr>
        body43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  Other chronic diseases</w:t>
            </w:r>
            <w:r>
              <w:rPr>
                <w:rFonts w:ascii="Calibri" w:hAnsi="Calibri" w:eastAsia="Calibri" w:cs="Calibri"/>
                <w:i w:val="false"/>
                <w:b w:val="false"/>
                <w:u w:val="none"/>
                <w:vertAlign w:val="superscript"/>
                <w:sz w:val="16"/>
                <w:szCs w:val="16"/>
                <w:color w:val="000000"/>
              </w:rPr>
              <w:t xml:space="preserve">§</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2,289 (5.3%)</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8,859 (9.8%)</w:t>
            </w:r>
          </w:p>
        </w:tc>
        <w:tc>
          <w:tcPr>
            <w:tcBorders>
              <w:bottom w:val="single" w:sz="8" w:space="0" w:color="BEBEBE"/>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false"/>
                <w:b w:val="false"/>
                <w:u w:val="none"/>
                <w:sz w:val="16"/>
                <w:szCs w:val="16"/>
                <w:color w:val="000000"/>
              </w:rPr>
              <w:t xml:space="preserve">11,148 (8.3%)</w:t>
            </w:r>
          </w:p>
        </w:tc>
      </w:tr>
      <w:tr>
        <w:trPr>
          <w:trHeight w:val="360" w:hRule="auto"/>
        </w:trPr>
        footer 1
        <w:tc>
          <w:tcPr>
            <w:gridSpan w:val="4"/>
            <w:tcBorders>
              <w:bottom w:val="none" w:sz="0" w:space="0" w:color="000000"/>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true"/>
                <w:b w:val="false"/>
                <w:u w:val="none"/>
                <w:sz w:val="14"/>
                <w:szCs w:val="14"/>
                <w:color w:val="000000"/>
              </w:rPr>
              <w:t xml:space="preserve">Abbreviation </w:t>
            </w:r>
            <w:r>
              <w:rPr>
                <w:rFonts w:ascii="Calibri" w:hAnsi="Calibri" w:eastAsia="Calibri" w:cs="Calibri"/>
                <w:i w:val="true"/>
                <w:b w:val="false"/>
                <w:u w:val="none"/>
                <w:sz w:val="14"/>
                <w:szCs w:val="14"/>
                <w:color w:val="000000"/>
              </w:rPr>
              <w:br/>
            </w:r>
            <w:r>
              <w:rPr>
                <w:rFonts w:ascii="Calibri" w:hAnsi="Calibri" w:eastAsia="Calibri" w:cs="Calibri"/>
                <w:i w:val="true"/>
                <w:b w:val="false"/>
                <w:u w:val="none"/>
                <w:sz w:val="14"/>
                <w:szCs w:val="14"/>
                <w:color w:val="000000"/>
              </w:rPr>
              <w:t xml:space="preserve"> SBP:systolic blood pressure, DBP: diastolic blood pressure, BMI: body mass index, NMR:nuclear magnetic resonance,HDL-C: high density lipoprotein cholesterol,LDL-C: low density lipoprotein cholesterol, HbA1c: glycosylated hemoglobin A1c</w:t>
            </w:r>
          </w:p>
        </w:tc>
      </w:tr>
      <w:tr>
        <w:trPr>
          <w:trHeight w:val="360" w:hRule="auto"/>
        </w:trPr>
        footer 2
        <w:tc>
          <w:tcPr>
            <w:gridSpan w:val="4"/>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16"/>
              <w:ind w:left="0" w:right="0" w:firstLine="0" w:firstLineChars="0"/>
            </w:pPr>
            <w:r>
              <w:rPr>
                <w:rFonts w:ascii="Calibri" w:hAnsi="Calibri" w:eastAsia="Calibri" w:cs="Calibri"/>
                <w:i w:val="true"/>
                <w:b w:val="false"/>
                <w:u w:val="none"/>
                <w:vertAlign w:val="superscript"/>
                <w:sz w:val="14"/>
                <w:szCs w:val="14"/>
                <w:color w:val="000000"/>
              </w:rPr>
              <w:t xml:space="preserve">§</w:t>
            </w:r>
            <w:r>
              <w:rPr>
                <w:rFonts w:ascii="Calibri" w:hAnsi="Calibri" w:eastAsia="Calibri" w:cs="Calibri"/>
                <w:i w:val="true"/>
                <w:b w:val="false"/>
                <w:u w:val="none"/>
                <w:sz w:val="14"/>
                <w:szCs w:val="14"/>
                <w:color w:val="000000"/>
              </w:rPr>
              <w:t xml:space="preserve">Other diseases include self-reported emphysema, chronic kidney disease, peptic ulcer,liver cirrhosis,and peripheral arterial disease.</w:t>
            </w:r>
          </w:p>
        </w:tc>
      </w:tr>
    </w:tbl>
    <w:p>
      <w:pPr>
        <w:sectPr w:officer="true">
          <w:type w:val="continuous"/>
          <w:cols/>
          <w:pgSz w:h="16838" w:w="11906"/>
          <w:pgMar w:bottom="720" w:footer="708" w:gutter="0" w:header="708" w:left="720" w:right="720" w:top="720"/>
        </w:sectPr>
      </w:pPr>
    </w:p>
    <w:p>
      <w:pPr>
        <w:jc w:val="center"/>
        <w:pStyle w:val="Figure"/>
      </w:pPr>
      <w:r>
        <w:rPr/>
        <w:drawing>
          <wp:inline distT="0" distB="0" distL="0" distR="0">
            <wp:extent cx="9144000" cy="5943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9"/>
                    <a:stretch>
                      <a:fillRect/>
                    </a:stretch>
                  </pic:blipFill>
                  <pic:spPr bwMode="auto">
                    <a:xfrm>
                      <a:off x="0" y="0"/>
                      <a:ext cx="127000" cy="82550"/>
                    </a:xfrm>
                    <a:prstGeom prst="rect">
                      <a:avLst/>
                    </a:prstGeom>
                    <a:noFill/>
                  </pic:spPr>
                </pic:pic>
              </a:graphicData>
            </a:graphic>
          </wp:inline>
        </w:drawing>
      </w:r>
    </w:p>
    <w:p>
      <w:pPr>
        <w:pStyle w:val="ImageCaption"/>
      </w:pPr>
      <w:r>
        <w:rPr>
          <w:rFonts/>
          <w:b w:val="true"/>
        </w:rPr>
        <w:t xml:space="preserve">Figure </w:t>
      </w:r>
      <w:bookmarkStart w:id="d303b77a-e2e6-4e97-9366-f721fbb9c403" w:name="fig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03b77a-e2e6-4e97-9366-f721fbb9c403"/>
      <w:r>
        <w:rPr>
          <w:rFonts/>
          <w:b w:val="true"/>
        </w:rPr>
        <w:t xml:space="preserve">: </w:t>
      </w:r>
      <w:r>
        <w:t xml:space="preserve">Genetic predisposition to CAD risk in Mexicans aged 35-80 years</w:t>
      </w:r>
      <w:r>
        <w:br/>
      </w:r>
      <w:r>
        <w:t xml:space="preserve">The odd ratios for subsequent risk from CAD (defined as (self-reported) medical diagnosis of CAD at baseline and any mention anywhere in the deaths certificate of CAD) given one standard deviation (SD) increase in polygenic risk score (PRS) across eight selected PRSs derived from external sources, were estimated with continuous regression models partially adjusted for sex, age at baseline and ancestry admixture in the MCPS population. In fully adjusted models, additional adjustments included measured waist-to-hip ratio, systolic and diastolic blood pressures, reported smoking status, level of education attainment, and presence of diabetes at baseline (diagnosed, treated or HbA1c &gt;6.5%). Analyses were restricted to eligible participants with complete data on all covariates (see footnote of Table 1 for details)..</w:t>
      </w:r>
    </w:p>
    <w:p>
      <w:pPr>
        <w:jc w:val="center"/>
        <w:pStyle w:val="Figure"/>
      </w:pPr>
      <w:r>
        <w:rPr/>
        <w:drawing>
          <wp:inline distT="0" distB="0" distL="0" distR="0">
            <wp:extent cx="9144000" cy="5943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0"/>
                    <a:stretch>
                      <a:fillRect/>
                    </a:stretch>
                  </pic:blipFill>
                  <pic:spPr bwMode="auto">
                    <a:xfrm>
                      <a:off x="0" y="0"/>
                      <a:ext cx="127000" cy="82550"/>
                    </a:xfrm>
                    <a:prstGeom prst="rect">
                      <a:avLst/>
                    </a:prstGeom>
                    <a:noFill/>
                  </pic:spPr>
                </pic:pic>
              </a:graphicData>
            </a:graphic>
          </wp:inline>
        </w:drawing>
      </w:r>
    </w:p>
    <w:p>
      <w:pPr>
        <w:pStyle w:val="ImageCaption"/>
      </w:pPr>
      <w:r>
        <w:rPr>
          <w:rFonts/>
          <w:b w:val="true"/>
        </w:rPr>
        <w:t xml:space="preserve">Figure </w:t>
      </w:r>
      <w:bookmarkStart w:id="77cf0647-6739-4123-aad3-386e9fcb4efc" w:name="fig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cf0647-6739-4123-aad3-386e9fcb4efc"/>
      <w:r>
        <w:rPr>
          <w:rFonts/>
          <w:b w:val="true"/>
        </w:rPr>
        <w:t xml:space="preserve">: </w:t>
      </w:r>
      <w:r>
        <w:t xml:space="preserve">Association of PRS quintiles with CAD risk in Mexicans aged 35-80 years, by quintiles of PRSs</w:t>
      </w:r>
      <w:r>
        <w:br/>
      </w:r>
      <w:r>
        <w:t xml:space="preserve">Odd ratios (OR) were estimated with regression models adjusted for sex and age at baseline. The odds ratio (on log scale) for each of the five quintiles of the eight selected PRSs are plotted against their respective mean PRS in each quintile. The 95% confidence intervals estimated by floating absolute risk are presented as vertical error bars through each point. The size of each estimate point is inversely proportional to their respective standard error. The ORs and the number of CAD cases within each quintile are displayed above and below the corresponding error bar.</w:t>
      </w:r>
    </w:p>
    <w:p>
      <w:pPr>
        <w:sectPr w:officer="true">
          <w:pgSz w:h="11906" w:w="16838" w:orient="landscape"/>
          <w:type w:val="oddPage"/>
          <w:cols/>
          <w:pgMar w:bottom="720" w:footer="708" w:gutter="0" w:header="708" w:left="720" w:right="720" w:top="720"/>
        </w:sectPr>
      </w:pPr>
    </w:p>
    <w:p>
      <w:pPr>
        <w:jc w:val="center"/>
        <w:pStyle w:val="Figure"/>
      </w:pPr>
      <w:r>
        <w:rPr/>
        <w:drawing>
          <wp:inline distT="0" distB="0" distL="0" distR="0">
            <wp:extent cx="5486400" cy="91440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1"/>
                    <a:stretch>
                      <a:fillRect/>
                    </a:stretch>
                  </pic:blipFill>
                  <pic:spPr bwMode="auto">
                    <a:xfrm>
                      <a:off x="0" y="0"/>
                      <a:ext cx="76200" cy="127000"/>
                    </a:xfrm>
                    <a:prstGeom prst="rect">
                      <a:avLst/>
                    </a:prstGeom>
                    <a:noFill/>
                  </pic:spPr>
                </pic:pic>
              </a:graphicData>
            </a:graphic>
          </wp:inline>
        </w:drawing>
      </w:r>
    </w:p>
    <w:p>
      <w:pPr>
        <w:pStyle w:val="ImageCaption"/>
      </w:pPr>
      <w:r>
        <w:rPr>
          <w:rFonts/>
          <w:b w:val="true"/>
        </w:rPr>
        <w:t xml:space="preserve">Figure </w:t>
      </w:r>
      <w:bookmarkStart w:id="8e68ed6e-304e-4247-810d-888614f9afac" w:name="fig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68ed6e-304e-4247-810d-888614f9afac"/>
      <w:r>
        <w:rPr>
          <w:rFonts/>
          <w:b w:val="true"/>
        </w:rPr>
        <w:t xml:space="preserve">: </w:t>
      </w:r>
      <w:r>
        <w:t xml:space="preserve">Genetic predisposition to CAD risk at ages 35 to 80 years, independent of conventional vascular risk factors</w:t>
      </w:r>
      <w:r>
        <w:br/>
      </w:r>
      <w:r>
        <w:t xml:space="preserve">Analyses as per Figure 1, now with stepwise adjustments for each established risk factor considered separately, in the order indicated in the forestplot. Changes in estimated ORs are estimated by the chi-squared statistics.</w:t>
      </w:r>
    </w:p>
    <w:p>
      <w:pPr>
        <w:sectPr w:officer="true">
          <w:type w:val="continuous"/>
          <w:cols/>
          <w:pgSz w:h="16838" w:w="11906"/>
          <w:pgMar w:bottom="720" w:footer="708" w:gutter="0" w:header="708" w:left="720" w:right="720" w:top="720"/>
        </w:sectPr>
      </w:pPr>
    </w:p>
    <w:p>
      <w:pPr>
        <w:jc w:val="center"/>
        <w:pStyle w:val="Figure"/>
      </w:pPr>
      <w:r>
        <w:rPr/>
        <w:drawing>
          <wp:inline distT="0" distB="0" distL="0" distR="0">
            <wp:extent cx="10058400" cy="5943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2"/>
                    <a:stretch>
                      <a:fillRect/>
                    </a:stretch>
                  </pic:blipFill>
                  <pic:spPr bwMode="auto">
                    <a:xfrm>
                      <a:off x="0" y="0"/>
                      <a:ext cx="139700" cy="82550"/>
                    </a:xfrm>
                    <a:prstGeom prst="rect">
                      <a:avLst/>
                    </a:prstGeom>
                    <a:noFill/>
                  </pic:spPr>
                </pic:pic>
              </a:graphicData>
            </a:graphic>
          </wp:inline>
        </w:drawing>
      </w:r>
    </w:p>
    <w:p>
      <w:pPr>
        <w:pStyle w:val="ImageCaption"/>
      </w:pPr>
      <w:r>
        <w:rPr>
          <w:rFonts/>
          <w:b w:val="true"/>
        </w:rPr>
        <w:t xml:space="preserve">Figure </w:t>
      </w:r>
      <w:bookmarkStart w:id="4d9ca778-cadb-4406-b761-941206579679" w:name="fig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d9ca778-cadb-4406-b761-941206579679"/>
      <w:r>
        <w:rPr>
          <w:rFonts/>
          <w:b w:val="true"/>
        </w:rPr>
        <w:t xml:space="preserve">: </w:t>
      </w:r>
      <w:r>
        <w:t xml:space="preserve">Sex-specific genetic predisposition to CAD risk in Mexican men and women aged 35-80 years</w:t>
      </w:r>
      <w:r>
        <w:br/>
      </w:r>
      <w:r>
        <w:t xml:space="preserve">Analyses as per Figure 1, now separately in men and in women.</w:t>
      </w:r>
    </w:p>
    <w:p>
      <w:pPr>
        <w:sectPr w:officer="true">
          <w:pgSz w:h="11906" w:w="16838" w:orient="landscape"/>
          <w:type w:val="oddPage"/>
          <w:cols/>
          <w:pgMar w:bottom="720" w:footer="708" w:gutter="0" w:header="708" w:left="720" w:right="720" w:top="720"/>
        </w:sectPr>
      </w:pPr>
    </w:p>
    <w:p>
      <w:pPr>
        <w:pStyle w:val="BodyText"/>
      </w:pPr>
      <w:hyperlink w:anchor="fig1">
        <w:r xmlns:w14="http://schemas.microsoft.com/office/word/2010/wordml">
          <w:rPr/>
          <w:fldChar w:fldCharType="begin" w:dirty="true"/>
        </w:r>
        <w:r xmlns:w14="http://schemas.microsoft.com/office/word/2010/wordml">
          <w:rPr/>
          <w:instrText xml:space="preserve" w:dirty="true"> REF fig1 \h</w:instrText>
        </w:r>
        <w:r xmlns:w14="http://schemas.microsoft.com/office/word/2010/wordml">
          <w:rPr/>
          <w:fldChar w:fldCharType="end" w:dirty="true"/>
        </w:r>
      </w:hyperlink>
      <w:r>
        <w:t xml:space="preserve"> </w:t>
      </w:r>
      <w:hyperlink w:anchor="fig2">
        <w:r xmlns:w14="http://schemas.microsoft.com/office/word/2010/wordml">
          <w:rPr/>
          <w:fldChar w:fldCharType="begin" w:dirty="true"/>
        </w:r>
        <w:r xmlns:w14="http://schemas.microsoft.com/office/word/2010/wordml">
          <w:rPr/>
          <w:instrText xml:space="preserve" w:dirty="true"> REF fig2 \h</w:instrText>
        </w:r>
        <w:r xmlns:w14="http://schemas.microsoft.com/office/word/2010/wordml">
          <w:rPr/>
          <w:fldChar w:fldCharType="end" w:dirty="true"/>
        </w:r>
      </w:hyperlink>
      <w:r>
        <w:t xml:space="preserve"> </w:t>
      </w:r>
      <w:hyperlink w:anchor="fig3">
        <w:r xmlns:w14="http://schemas.microsoft.com/office/word/2010/wordml">
          <w:rPr/>
          <w:fldChar w:fldCharType="begin" w:dirty="true"/>
        </w:r>
        <w:r xmlns:w14="http://schemas.microsoft.com/office/word/2010/wordml">
          <w:rPr/>
          <w:instrText xml:space="preserve" w:dirty="true"> REF fig3 \h</w:instrText>
        </w:r>
        <w:r xmlns:w14="http://schemas.microsoft.com/office/word/2010/wordml">
          <w:rPr/>
          <w:fldChar w:fldCharType="end" w:dirty="true"/>
        </w:r>
      </w:hyperlink>
      <w:r>
        <w:t xml:space="preserve"> </w:t>
      </w:r>
      <w:hyperlink w:anchor="fig4">
        <w:r xmlns:w14="http://schemas.microsoft.com/office/word/2010/wordml">
          <w:rPr/>
          <w:fldChar w:fldCharType="begin" w:dirty="true"/>
        </w:r>
        <w:r xmlns:w14="http://schemas.microsoft.com/office/word/2010/wordml">
          <w:rPr/>
          <w:instrText xml:space="preserve" w:dirty="true"> REF fig4 \h</w:instrText>
        </w:r>
        <w:r xmlns:w14="http://schemas.microsoft.com/office/word/2010/wordml">
          <w:rPr/>
          <w:fldChar w:fldCharType="end" w:dirty="true"/>
        </w:r>
      </w:hyperlink>
      <w:r>
        <w:t xml:space="preserve"> </w:t>
      </w:r>
      <w:hyperlink w:anchor="table1">
        <w:r xmlns:w14="http://schemas.microsoft.com/office/word/2010/wordml">
          <w:rPr/>
          <w:fldChar w:fldCharType="begin" w:dirty="true"/>
        </w:r>
        <w:r xmlns:w14="http://schemas.microsoft.com/office/word/2010/wordml">
          <w:rPr/>
          <w:instrText xml:space="preserve" w:dirty="true"> REF table1 \h</w:instrText>
        </w:r>
        <w:r xmlns:w14="http://schemas.microsoft.com/office/word/2010/wordml">
          <w:rPr/>
          <w:fldChar w:fldCharType="end" w:dirty="true"/>
        </w:r>
      </w:hyperlink>
    </w:p>
    <w:sectPr w:rsidR="003E0DC6" w:rsidSect="003E0DC6">
      <w:pgSz w:h="16838" w:w="11906"/>
      <w:pgMar w:bottom="720" w:footer="708" w:gutter="0" w:header="708" w:left="720" w:right="720" w:top="720"/>
      <w:cols w:space="708"/>
      <w:docGrid w:linePitch="36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093600D3"/>
    <w:multiLevelType w:val="multilevel"/>
    <w:tmpl w:val="08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18DA25B9"/>
    <w:multiLevelType w:val="multilevel"/>
    <w:tmpl w:val="C914843E"/>
    <w:lvl w:ilvl="0">
      <w:start w:val="1"/>
      <w:numFmt w:val="decimal"/>
      <w:pStyle w:val="Heading2"/>
      <w:lvlText w:val="%1."/>
      <w:lvlJc w:val="left"/>
      <w:pPr>
        <w:ind w:hanging="360" w:left="360"/>
      </w:pPr>
    </w:lvl>
    <w:lvl w:ilvl="1">
      <w:start w:val="1"/>
      <w:numFmt w:val="decimal"/>
      <w:pStyle w:val="Heading3"/>
      <w:lvlText w:val="%1.%2."/>
      <w:lvlJc w:val="left"/>
      <w:pPr>
        <w:ind w:hanging="432" w:left="792"/>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 w:ilvl="2">
      <w:start w:val="1"/>
      <w:numFmt w:val="decimal"/>
      <w:lvlText w:val="%1.%2.%3."/>
      <w:lvlJc w:val="left"/>
      <w:pPr>
        <w:ind w:hanging="504" w:left="1224"/>
      </w:pPr>
    </w:lvl>
    <w:lvl w:ilvl="3">
      <w:start w:val="1"/>
      <w:numFmt w:val="decimal"/>
      <w:pStyle w:val="Heading4"/>
      <w:lvlText w:val="%1.%2.%3.%4."/>
      <w:lvlJc w:val="left"/>
      <w:pPr>
        <w:ind w:hanging="648" w:left="1728"/>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9D23A48"/>
    <w:multiLevelType w:val="multilevel"/>
    <w:tmpl w:val="E22E7EC6"/>
    <w:lvl w:ilvl="0">
      <w:start w:val="1"/>
      <w:numFmt w:val="decimal"/>
      <w:lvlText w:val="%1."/>
      <w:lvlJc w:val="left"/>
      <w:pPr>
        <w:ind w:hanging="360" w:left="720"/>
      </w:pPr>
    </w:lvl>
    <w:lvl w:ilvl="1">
      <w:start w:val="1"/>
      <w:numFmt w:val="decimal"/>
      <w:isLgl/>
      <w:lvlText w:val="%1.%2"/>
      <w:lvlJc w:val="left"/>
      <w:pPr>
        <w:ind w:hanging="360" w:left="1080"/>
      </w:pPr>
      <w:rPr>
        <w:rFonts w:hint="default"/>
      </w:rPr>
    </w:lvl>
    <w:lvl w:ilvl="2">
      <w:start w:val="1"/>
      <w:numFmt w:val="decimal"/>
      <w:isLgl/>
      <w:lvlText w:val="%1.%2.%3"/>
      <w:lvlJc w:val="left"/>
      <w:pPr>
        <w:ind w:hanging="720" w:left="1800"/>
      </w:pPr>
      <w:rPr>
        <w:rFonts w:hint="default"/>
      </w:rPr>
    </w:lvl>
    <w:lvl w:ilvl="3">
      <w:start w:val="1"/>
      <w:numFmt w:val="decimal"/>
      <w:isLgl/>
      <w:lvlText w:val="%1.%2.%3.%4"/>
      <w:lvlJc w:val="left"/>
      <w:pPr>
        <w:ind w:hanging="720" w:left="2160"/>
      </w:pPr>
      <w:rPr>
        <w:rFonts w:hint="default"/>
      </w:rPr>
    </w:lvl>
    <w:lvl w:ilvl="4">
      <w:start w:val="1"/>
      <w:numFmt w:val="decimal"/>
      <w:isLgl/>
      <w:lvlText w:val="%1.%2.%3.%4.%5"/>
      <w:lvlJc w:val="left"/>
      <w:pPr>
        <w:ind w:hanging="1080" w:left="2880"/>
      </w:pPr>
      <w:rPr>
        <w:rFonts w:hint="default"/>
      </w:rPr>
    </w:lvl>
    <w:lvl w:ilvl="5">
      <w:start w:val="1"/>
      <w:numFmt w:val="decimal"/>
      <w:isLgl/>
      <w:lvlText w:val="%1.%2.%3.%4.%5.%6"/>
      <w:lvlJc w:val="left"/>
      <w:pPr>
        <w:ind w:hanging="1080" w:left="3240"/>
      </w:pPr>
      <w:rPr>
        <w:rFonts w:hint="default"/>
      </w:rPr>
    </w:lvl>
    <w:lvl w:ilvl="6">
      <w:start w:val="1"/>
      <w:numFmt w:val="decimal"/>
      <w:isLgl/>
      <w:lvlText w:val="%1.%2.%3.%4.%5.%6.%7"/>
      <w:lvlJc w:val="left"/>
      <w:pPr>
        <w:ind w:hanging="1440" w:left="3960"/>
      </w:pPr>
      <w:rPr>
        <w:rFonts w:hint="default"/>
      </w:rPr>
    </w:lvl>
    <w:lvl w:ilvl="7">
      <w:start w:val="1"/>
      <w:numFmt w:val="decimal"/>
      <w:isLgl/>
      <w:lvlText w:val="%1.%2.%3.%4.%5.%6.%7.%8"/>
      <w:lvlJc w:val="left"/>
      <w:pPr>
        <w:ind w:hanging="1440" w:left="4320"/>
      </w:pPr>
      <w:rPr>
        <w:rFonts w:hint="default"/>
      </w:rPr>
    </w:lvl>
    <w:lvl w:ilvl="8">
      <w:start w:val="1"/>
      <w:numFmt w:val="decimal"/>
      <w:isLgl/>
      <w:lvlText w:val="%1.%2.%3.%4.%5.%6.%7.%8.%9"/>
      <w:lvlJc w:val="left"/>
      <w:pPr>
        <w:ind w:hanging="1440" w:left="4680"/>
      </w:pPr>
      <w:rPr>
        <w:rFonts w:hint="default"/>
      </w:rPr>
    </w:lvl>
  </w:abstractNum>
  <w:abstractNum w15:restartNumberingAfterBreak="0" w:abstractNumId="3">
    <w:nsid w:val="2B3304A0"/>
    <w:multiLevelType w:val="multilevel"/>
    <w:tmpl w:val="08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D9C49CC"/>
    <w:multiLevelType w:val="multilevel"/>
    <w:tmpl w:val="471AFF7A"/>
    <w:lvl w:ilvl="0">
      <w:start w:val="1"/>
      <w:numFmt w:val="decimal"/>
      <w:lvlText w:val="%1."/>
      <w:lvlJc w:val="left"/>
      <w:pPr>
        <w:ind w:hanging="360" w:left="36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 w:ilvl="1">
      <w:start w:val="1"/>
      <w:numFmt w:val="decimal"/>
      <w:lvlText w:val="%1.%2."/>
      <w:lvlJc w:val="left"/>
      <w:pPr>
        <w:ind w:hanging="432" w:left="792"/>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5">
    <w:nsid w:val="3FC93B90"/>
    <w:multiLevelType w:val="hybridMultilevel"/>
    <w:tmpl w:val="098E0C94"/>
    <w:lvl w:ilvl="0" w:tplc="404036F8">
      <w:start w:val="1"/>
      <w:numFmt w:val="decimal"/>
      <w:lvlText w:val="%1."/>
      <w:lvlJc w:val="left"/>
      <w:pPr>
        <w:ind w:hanging="360" w:left="720"/>
      </w:pPr>
      <w:rPr>
        <w:rFonts w:hint="default"/>
      </w:rPr>
    </w:lvl>
    <w:lvl w:ilvl="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6">
    <w:nsid w:val="54A75B22"/>
    <w:multiLevelType w:val="multilevel"/>
    <w:tmpl w:val="8C787530"/>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7">
    <w:nsid w:val="5E3440F8"/>
    <w:multiLevelType w:val="hybridMultilevel"/>
    <w:tmpl w:val="427E4880"/>
    <w:lvl w:ilvl="0" w:tplc="0809000F">
      <w:start w:val="1"/>
      <w:numFmt w:val="decimal"/>
      <w:lvlText w:val="%1."/>
      <w:lvlJc w:val="left"/>
      <w:pPr>
        <w:ind w:hanging="360" w:left="1080"/>
      </w:pPr>
    </w:lvl>
    <w:lvl w:ilvl="1" w:tentative="1" w:tplc="08090019">
      <w:start w:val="1"/>
      <w:numFmt w:val="lowerLetter"/>
      <w:lvlText w:val="%2."/>
      <w:lvlJc w:val="left"/>
      <w:pPr>
        <w:ind w:hanging="360" w:left="1800"/>
      </w:pPr>
    </w:lvl>
    <w:lvl w:ilvl="2" w:tentative="1" w:tplc="0809001B">
      <w:start w:val="1"/>
      <w:numFmt w:val="lowerRoman"/>
      <w:lvlText w:val="%3."/>
      <w:lvlJc w:val="right"/>
      <w:pPr>
        <w:ind w:hanging="180" w:left="2520"/>
      </w:pPr>
    </w:lvl>
    <w:lvl w:ilvl="3" w:tentative="1" w:tplc="0809000F">
      <w:start w:val="1"/>
      <w:numFmt w:val="decimal"/>
      <w:lvlText w:val="%4."/>
      <w:lvlJc w:val="left"/>
      <w:pPr>
        <w:ind w:hanging="360" w:left="3240"/>
      </w:pPr>
    </w:lvl>
    <w:lvl w:ilvl="4" w:tentative="1" w:tplc="08090019">
      <w:start w:val="1"/>
      <w:numFmt w:val="lowerLetter"/>
      <w:lvlText w:val="%5."/>
      <w:lvlJc w:val="left"/>
      <w:pPr>
        <w:ind w:hanging="360" w:left="3960"/>
      </w:pPr>
    </w:lvl>
    <w:lvl w:ilvl="5" w:tentative="1" w:tplc="0809001B">
      <w:start w:val="1"/>
      <w:numFmt w:val="lowerRoman"/>
      <w:lvlText w:val="%6."/>
      <w:lvlJc w:val="right"/>
      <w:pPr>
        <w:ind w:hanging="180" w:left="4680"/>
      </w:pPr>
    </w:lvl>
    <w:lvl w:ilvl="6" w:tentative="1" w:tplc="0809000F">
      <w:start w:val="1"/>
      <w:numFmt w:val="decimal"/>
      <w:lvlText w:val="%7."/>
      <w:lvlJc w:val="left"/>
      <w:pPr>
        <w:ind w:hanging="360" w:left="5400"/>
      </w:pPr>
    </w:lvl>
    <w:lvl w:ilvl="7" w:tentative="1" w:tplc="08090019">
      <w:start w:val="1"/>
      <w:numFmt w:val="lowerLetter"/>
      <w:lvlText w:val="%8."/>
      <w:lvlJc w:val="left"/>
      <w:pPr>
        <w:ind w:hanging="360" w:left="6120"/>
      </w:pPr>
    </w:lvl>
    <w:lvl w:ilvl="8" w:tentative="1" w:tplc="0809001B">
      <w:start w:val="1"/>
      <w:numFmt w:val="lowerRoman"/>
      <w:lvlText w:val="%9."/>
      <w:lvlJc w:val="right"/>
      <w:pPr>
        <w:ind w:hanging="180" w:left="6840"/>
      </w:pPr>
    </w:lvl>
  </w:abstractNum>
  <w:abstractNum w15:restartNumberingAfterBreak="0" w:abstractNumId="8">
    <w:nsid w:val="6AB02F7C"/>
    <w:multiLevelType w:val="hybridMultilevel"/>
    <w:tmpl w:val="F5149430"/>
    <w:lvl w:ilvl="0" w:tplc="A3127B6C">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7"/>
  </w:num>
  <w:num w:numId="3">
    <w:abstractNumId w:val="8"/>
  </w:num>
  <w:num w:numId="4">
    <w:abstractNumId w:val="5"/>
  </w:num>
  <w:num w:numId="5">
    <w:abstractNumId w:val="0"/>
  </w:num>
  <w:num w:numId="6">
    <w:abstractNumId w:val="3"/>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
  </w:num>
  <w:num w:numId="1000">
    <w:abstractNumId w:val="990"/>
  </w:num>
</w:numbering>
</file>

<file path=word/settings.xml><?xml version="1.0" encoding="utf-8"?>
<w:settings xmlns:w="http://schemas.openxmlformats.org/wordprocessingml/2006/main">
  <w:zoom w:percent="9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2"/>
        <w:szCs w:val="22"/>
        <w:lang w:bidi="ar-SA" w:eastAsia="en-US" w:val="en-GB"/>
      </w:rPr>
    </w:rPrDefault>
    <w:pPrDefault>
      <w:pPr>
        <w:spacing w:after="160" w:line="259" w:lineRule="auto"/>
      </w:pPr>
    </w:pPrDefault>
  </w:docDefaults>
  <w:latentStyles w:count="371"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0C380C"/>
    <w:rPr>
      <w:rFonts w:cstheme="minorHAnsi"/>
    </w:rPr>
  </w:style>
  <w:style w:styleId="Heading1" w:type="paragraph">
    <w:name w:val="heading 1"/>
    <w:basedOn w:val="Heading2"/>
    <w:next w:val="Normal"/>
    <w:link w:val="Heading1Char"/>
    <w:uiPriority w:val="9"/>
    <w:qFormat/>
    <w:rsid w:val="0070396D"/>
    <w:pPr>
      <w:outlineLvl w:val="0"/>
    </w:pPr>
  </w:style>
  <w:style w:styleId="Heading2" w:type="paragraph">
    <w:name w:val="heading 2"/>
    <w:basedOn w:val="ListParagraph"/>
    <w:next w:val="Normal"/>
    <w:link w:val="Heading2Char"/>
    <w:uiPriority w:val="9"/>
    <w:unhideWhenUsed/>
    <w:qFormat/>
    <w:rsid w:val="0005170C"/>
    <w:pPr>
      <w:numPr>
        <w:numId w:val="10"/>
      </w:numPr>
      <w:outlineLvl w:val="1"/>
    </w:pPr>
    <w:rPr>
      <w:b/>
    </w:rPr>
  </w:style>
  <w:style w:styleId="Heading3" w:type="paragraph">
    <w:name w:val="heading 3"/>
    <w:basedOn w:val="Normal"/>
    <w:next w:val="Normal"/>
    <w:link w:val="Heading3Char"/>
    <w:uiPriority w:val="9"/>
    <w:unhideWhenUsed/>
    <w:qFormat/>
    <w:rsid w:val="001D068B"/>
    <w:pPr>
      <w:keepNext/>
      <w:keepLines/>
      <w:numPr>
        <w:ilvl w:val="1"/>
        <w:numId w:val="10"/>
      </w:numPr>
      <w:spacing w:after="0" w:before="40"/>
      <w:outlineLvl w:val="2"/>
    </w:pPr>
    <w:rPr>
      <w:rFonts w:eastAsiaTheme="majorEastAsia"/>
      <w:b/>
    </w:rPr>
  </w:style>
  <w:style w:styleId="Heading4" w:type="paragraph">
    <w:name w:val="heading 4"/>
    <w:basedOn w:val="Normal"/>
    <w:next w:val="Normal"/>
    <w:link w:val="Heading4Char"/>
    <w:uiPriority w:val="9"/>
    <w:unhideWhenUsed/>
    <w:qFormat/>
    <w:rsid w:val="001D068B"/>
    <w:pPr>
      <w:keepNext/>
      <w:keepLines/>
      <w:numPr>
        <w:ilvl w:val="3"/>
        <w:numId w:val="10"/>
      </w:numPr>
      <w:spacing w:after="0" w:before="40"/>
      <w:outlineLvl w:val="3"/>
    </w:pPr>
    <w:rPr>
      <w:rFonts w:ascii="Calibri" w:cs="Calibri" w:eastAsiaTheme="majorEastAsia" w:hAnsi="Calibri"/>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link w:val="TitleChar"/>
    <w:uiPriority w:val="10"/>
    <w:qFormat/>
    <w:rsid w:val="000C380C"/>
    <w:pPr>
      <w:spacing w:after="0" w:line="240" w:lineRule="auto"/>
      <w:contextualSpacing/>
      <w:jc w:val="center"/>
    </w:pPr>
    <w:rPr>
      <w:rFonts w:asciiTheme="majorHAnsi" w:cstheme="majorBidi" w:eastAsiaTheme="majorEastAsia" w:hAnsiTheme="majorHAnsi"/>
      <w:b/>
      <w:spacing w:val="-10"/>
      <w:kern w:val="28"/>
      <w:sz w:val="40"/>
      <w:szCs w:val="40"/>
    </w:rPr>
  </w:style>
  <w:style w:customStyle="1" w:styleId="TitleChar" w:type="character">
    <w:name w:val="Title Char"/>
    <w:basedOn w:val="DefaultParagraphFont"/>
    <w:link w:val="Title"/>
    <w:uiPriority w:val="10"/>
    <w:rsid w:val="000C380C"/>
    <w:rPr>
      <w:rFonts w:asciiTheme="majorHAnsi" w:cstheme="majorBidi" w:eastAsiaTheme="majorEastAsia" w:hAnsiTheme="majorHAnsi"/>
      <w:b/>
      <w:spacing w:val="-10"/>
      <w:kern w:val="28"/>
      <w:sz w:val="40"/>
      <w:szCs w:val="40"/>
    </w:rPr>
  </w:style>
  <w:style w:customStyle="1" w:styleId="Heading1Char" w:type="character">
    <w:name w:val="Heading 1 Char"/>
    <w:basedOn w:val="DefaultParagraphFont"/>
    <w:link w:val="Heading1"/>
    <w:uiPriority w:val="9"/>
    <w:rsid w:val="0070396D"/>
    <w:rPr>
      <w:rFonts w:cstheme="minorHAnsi"/>
      <w:b/>
    </w:rPr>
  </w:style>
  <w:style w:styleId="TOCHeading" w:type="paragraph">
    <w:name w:val="TOC Heading"/>
    <w:basedOn w:val="Heading1"/>
    <w:next w:val="Normal"/>
    <w:uiPriority w:val="39"/>
    <w:unhideWhenUsed/>
    <w:qFormat/>
    <w:rsid w:val="000C380C"/>
    <w:pPr>
      <w:outlineLvl w:val="9"/>
    </w:pPr>
    <w:rPr>
      <w:b w:val="0"/>
      <w:u w:val="single"/>
      <w:lang w:val="en-US"/>
    </w:rPr>
  </w:style>
  <w:style w:customStyle="1" w:styleId="Heading2Char" w:type="character">
    <w:name w:val="Heading 2 Char"/>
    <w:basedOn w:val="DefaultParagraphFont"/>
    <w:link w:val="Heading2"/>
    <w:uiPriority w:val="9"/>
    <w:rsid w:val="0005170C"/>
    <w:rPr>
      <w:rFonts w:cstheme="minorHAnsi"/>
      <w:b/>
    </w:rPr>
  </w:style>
  <w:style w:styleId="ListParagraph" w:type="paragraph">
    <w:name w:val="List Paragraph"/>
    <w:basedOn w:val="Normal"/>
    <w:uiPriority w:val="34"/>
    <w:qFormat/>
    <w:rsid w:val="00914C57"/>
    <w:pPr>
      <w:ind w:left="720"/>
      <w:contextualSpacing/>
    </w:pPr>
  </w:style>
  <w:style w:styleId="TOC1" w:type="paragraph">
    <w:name w:val="toc 1"/>
    <w:basedOn w:val="Normal"/>
    <w:next w:val="Normal"/>
    <w:autoRedefine/>
    <w:uiPriority w:val="39"/>
    <w:unhideWhenUsed/>
    <w:rsid w:val="00914C57"/>
    <w:pPr>
      <w:spacing w:after="100"/>
    </w:pPr>
  </w:style>
  <w:style w:styleId="TOC2" w:type="paragraph">
    <w:name w:val="toc 2"/>
    <w:basedOn w:val="Normal"/>
    <w:next w:val="Normal"/>
    <w:autoRedefine/>
    <w:uiPriority w:val="39"/>
    <w:unhideWhenUsed/>
    <w:rsid w:val="00914C57"/>
    <w:pPr>
      <w:spacing w:after="100"/>
      <w:ind w:left="220"/>
    </w:pPr>
  </w:style>
  <w:style w:styleId="Hyperlink" w:type="character">
    <w:name w:val="Hyperlink"/>
    <w:uiPriority w:val="99"/>
    <w:unhideWhenUsed/>
    <w:rsid w:val="001B56C9"/>
  </w:style>
  <w:style w:customStyle="1" w:styleId="Heading3Char" w:type="character">
    <w:name w:val="Heading 3 Char"/>
    <w:basedOn w:val="DefaultParagraphFont"/>
    <w:link w:val="Heading3"/>
    <w:uiPriority w:val="9"/>
    <w:rsid w:val="001D068B"/>
    <w:rPr>
      <w:rFonts w:cstheme="minorHAnsi" w:eastAsiaTheme="majorEastAsia"/>
      <w:b/>
    </w:rPr>
  </w:style>
  <w:style w:customStyle="1" w:styleId="Heading4Char" w:type="character">
    <w:name w:val="Heading 4 Char"/>
    <w:basedOn w:val="DefaultParagraphFont"/>
    <w:link w:val="Heading4"/>
    <w:uiPriority w:val="9"/>
    <w:rsid w:val="001D068B"/>
    <w:rPr>
      <w:rFonts w:ascii="Calibri" w:cs="Calibri" w:eastAsiaTheme="majorEastAsia" w:hAnsi="Calibri"/>
      <w:i/>
      <w:iCs/>
    </w:rPr>
  </w:style>
  <w:style w:styleId="TOC3" w:type="paragraph">
    <w:name w:val="toc 3"/>
    <w:basedOn w:val="Normal"/>
    <w:next w:val="Normal"/>
    <w:autoRedefine/>
    <w:uiPriority w:val="39"/>
    <w:unhideWhenUsed/>
    <w:rsid w:val="000C380C"/>
    <w:pPr>
      <w:spacing w:after="100"/>
      <w:ind w:left="440"/>
    </w:pPr>
  </w:style>
  <w:style w:styleId="Caption" w:type="paragraph">
    <w:name w:val="caption"/>
    <w:basedOn w:val="TableofFigures"/>
    <w:next w:val="Normal"/>
    <w:uiPriority w:val="35"/>
    <w:unhideWhenUsed/>
    <w:qFormat/>
    <w:rsid w:val="00551C75"/>
    <w:pPr>
      <w:tabs>
        <w:tab w:leader="dot" w:pos="10456" w:val="right"/>
      </w:tabs>
    </w:pPr>
    <w:rPr>
      <w:b/>
      <w:noProof/>
      <w:sz w:val="18"/>
      <w:szCs w:val="18"/>
    </w:rPr>
  </w:style>
  <w:style w:styleId="TableofFigures" w:type="paragraph">
    <w:name w:val="table of figures"/>
    <w:basedOn w:val="Normal"/>
    <w:next w:val="Normal"/>
    <w:uiPriority w:val="99"/>
    <w:unhideWhenUsed/>
    <w:rsid w:val="000C380C"/>
    <w:pPr>
      <w:spacing w:after="0"/>
    </w:pPr>
  </w:style>
  <w:style w:styleId="TableGrid" w:type="table">
    <w:name w:val="Table Grid"/>
    <w:basedOn w:val="TableNormal"/>
    <w:uiPriority w:val="39"/>
    <w:rsid w:val="002018A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Author" w:type="paragraph">
    <w:name w:val="Author"/>
    <w:basedOn w:val="Normal"/>
    <w:link w:val="AuthorChar"/>
    <w:qFormat/>
    <w:rsid w:val="00EB5B98"/>
    <w:pPr>
      <w:jc w:val="center"/>
    </w:pPr>
  </w:style>
  <w:style w:styleId="Date" w:type="paragraph">
    <w:name w:val="Date"/>
    <w:basedOn w:val="Normal"/>
    <w:next w:val="Normal"/>
    <w:link w:val="DateChar"/>
    <w:uiPriority w:val="99"/>
    <w:unhideWhenUsed/>
    <w:rsid w:val="00EB5B98"/>
    <w:pPr>
      <w:jc w:val="center"/>
    </w:pPr>
  </w:style>
  <w:style w:customStyle="1" w:styleId="AuthorChar" w:type="character">
    <w:name w:val="Author Char"/>
    <w:basedOn w:val="DefaultParagraphFont"/>
    <w:link w:val="Author"/>
    <w:rsid w:val="00EB5B98"/>
    <w:rPr>
      <w:rFonts w:cstheme="minorHAnsi"/>
    </w:rPr>
  </w:style>
  <w:style w:customStyle="1" w:styleId="DateChar" w:type="character">
    <w:name w:val="Date Char"/>
    <w:basedOn w:val="DefaultParagraphFont"/>
    <w:link w:val="Date"/>
    <w:uiPriority w:val="99"/>
    <w:rsid w:val="00EB5B98"/>
    <w:rPr>
      <w:rFonts w:cstheme="minorHAnsi"/>
    </w:rPr>
  </w:style>
  <w:style w:customStyle="1" w:styleId="Figure" w:type="paragraph">
    <w:name w:val="Figure"/>
    <w:basedOn w:val="Normal"/>
    <w:link w:val="FigureChar"/>
    <w:qFormat/>
    <w:rsid w:val="00F50F8A"/>
    <w:rPr>
      <w:noProof/>
      <w:lang w:eastAsia="en-GB"/>
    </w:rPr>
  </w:style>
  <w:style w:customStyle="1" w:styleId="FigureChar" w:type="character">
    <w:name w:val="Figure Char"/>
    <w:basedOn w:val="DefaultParagraphFont"/>
    <w:link w:val="Figure"/>
    <w:rsid w:val="00F50F8A"/>
    <w:rPr>
      <w:rFonts w:cstheme="minorHAnsi"/>
      <w:noProof/>
      <w:lang w:eastAsia="en-GB"/>
    </w:rPr>
  </w:style>
  <w:style w:styleId="Strong" w:type="character">
    <w:name w:val="Strong"/>
    <w:basedOn w:val="DefaultParagraphFont"/>
    <w:uiPriority w:val="22"/>
    <w:qFormat/>
    <w:rsid w:val="00551C75"/>
    <w:rPr>
      <w:b/>
      <w:bCs/>
    </w:rPr>
  </w:style>
  <w:style w:customStyle="1" w:styleId="ImageCaption" w:type="paragraph">
    <w:name w:val="Image Caption"/>
    <w:basedOn w:val="Caption"/>
    <w:link w:val="ImageCaptionChar"/>
    <w:qFormat/>
    <w:rsid w:val="007032B7"/>
    <w:rPr>
      <w:b w:val="0"/>
    </w:rPr>
  </w:style>
  <w:style w:customStyle="1" w:styleId="ImageCaptionChar" w:type="character">
    <w:name w:val="Image Caption Char"/>
    <w:basedOn w:val="TitleChar"/>
    <w:link w:val="ImageCaption"/>
    <w:rsid w:val="007032B7"/>
    <w:rPr>
      <w:rFonts w:asciiTheme="majorHAnsi" w:cstheme="minorHAnsi" w:eastAsiaTheme="majorEastAsia" w:hAnsiTheme="majorHAnsi"/>
      <w:b w:val="0"/>
      <w:noProof/>
      <w:spacing w:val="-10"/>
      <w:kern w:val="28"/>
      <w:sz w:val="18"/>
      <w:szCs w:val="18"/>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image" Target="media/e092aa6b9e5f595bb947aa0a6d0e4ac7325cc517.png"/>
<Relationship Id="rId10" Type="http://schemas.openxmlformats.org/officeDocument/2006/relationships/image" Target="media/596155c10c3b65c0aa7bfb3528f4bbbaad63cd2a.png"/>
<Relationship Id="rId11" Type="http://schemas.openxmlformats.org/officeDocument/2006/relationships/image" Target="media/ce9805a167b5dd43bc7d31af23a2fb67e4cdb702.png"/>
<Relationship Id="rId12" Type="http://schemas.openxmlformats.org/officeDocument/2006/relationships/image" Target="media/e73d0eca87186f97331ea44ac449004d0f04f86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Pages>
  <Words>23</Words>
  <Characters>132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Polygenic prediction of coronary artery disease among 130,000 Mexican adults</dc:title>
  <dc:creator>Tianshu Liu</dc:creator>
  <cp:keywords/>
  <dcterms:created xsi:type="dcterms:W3CDTF">2024-06-18T10:08:09Z</dcterms:created>
  <dcterms:modified xsi:type="dcterms:W3CDTF">2024-06-18T11:08:10Z</dcterms:modified>
  <cp:lastModifiedBy>hma817</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2024-06-03</vt:lpwstr>
  </property>
  <property fmtid="{D5CDD505-2E9C-101B-9397-08002B2CF9AE}" pid="3" name="output">
    <vt:lpwstr/>
  </property>
</Properties>
</file>