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25FC" w14:textId="616EE768" w:rsidR="0084130D" w:rsidRPr="00AA317B" w:rsidRDefault="00661233" w:rsidP="009960D1">
      <w:pPr>
        <w:rPr>
          <w:b/>
          <w:bCs/>
          <w:sz w:val="22"/>
          <w:szCs w:val="22"/>
        </w:rPr>
      </w:pPr>
      <w:r w:rsidRPr="00AA317B">
        <w:rPr>
          <w:b/>
          <w:bCs/>
          <w:sz w:val="22"/>
          <w:szCs w:val="22"/>
        </w:rPr>
        <w:t xml:space="preserve">Downstream </w:t>
      </w:r>
    </w:p>
    <w:p w14:paraId="6F2B921C" w14:textId="759132DB" w:rsidR="00661233" w:rsidRPr="00AA317B" w:rsidRDefault="00661233" w:rsidP="009960D1">
      <w:pPr>
        <w:rPr>
          <w:sz w:val="22"/>
          <w:szCs w:val="22"/>
        </w:rPr>
      </w:pPr>
    </w:p>
    <w:p w14:paraId="15214C36" w14:textId="0E05C610" w:rsidR="00661233" w:rsidRPr="00AA317B" w:rsidRDefault="009960D1" w:rsidP="009960D1">
      <w:pPr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Placement of the d</w:t>
      </w:r>
      <w:r w:rsidR="00661233" w:rsidRPr="00AA317B">
        <w:rPr>
          <w:rFonts w:cstheme="minorHAnsi"/>
          <w:b/>
          <w:bCs/>
          <w:sz w:val="22"/>
          <w:szCs w:val="22"/>
        </w:rPr>
        <w:t>ivision plane</w:t>
      </w:r>
    </w:p>
    <w:p w14:paraId="66B9959F" w14:textId="4A4FD307" w:rsidR="000A5DBA" w:rsidRPr="00AA317B" w:rsidRDefault="000A5DBA" w:rsidP="009960D1">
      <w:pPr>
        <w:jc w:val="both"/>
        <w:rPr>
          <w:rFonts w:cstheme="minorHAnsi"/>
          <w:sz w:val="22"/>
          <w:szCs w:val="22"/>
        </w:rPr>
      </w:pPr>
    </w:p>
    <w:p w14:paraId="39757F98" w14:textId="0D75ECA9" w:rsidR="00661233" w:rsidRPr="00AA317B" w:rsidRDefault="00727F97" w:rsidP="009960D1">
      <w:pPr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 xml:space="preserve">Signalling from the PARs regulates the position of the mitotic spindle, which leads to a cell size asymmetry following cytokinesis. </w:t>
      </w:r>
      <w:r w:rsidR="000F62B9" w:rsidRPr="00AA317B">
        <w:rPr>
          <w:rFonts w:cstheme="minorHAnsi"/>
          <w:sz w:val="22"/>
          <w:szCs w:val="22"/>
        </w:rPr>
        <w:t>This is carried out predominantly by PKC-3, which phosphorylates &lt;&gt; LIN-5</w:t>
      </w:r>
      <w:r w:rsidR="00D45089" w:rsidRPr="00AA317B">
        <w:rPr>
          <w:rFonts w:cstheme="minorHAnsi"/>
          <w:sz w:val="22"/>
          <w:szCs w:val="22"/>
        </w:rPr>
        <w:t xml:space="preserve">. </w:t>
      </w:r>
      <w:r w:rsidR="000F62B9" w:rsidRPr="00AA317B">
        <w:rPr>
          <w:rFonts w:cstheme="minorHAnsi"/>
          <w:sz w:val="22"/>
          <w:szCs w:val="22"/>
        </w:rPr>
        <w:t>Th</w:t>
      </w:r>
      <w:r w:rsidR="009960D1">
        <w:rPr>
          <w:rFonts w:cstheme="minorHAnsi"/>
          <w:sz w:val="22"/>
          <w:szCs w:val="22"/>
        </w:rPr>
        <w:t>is</w:t>
      </w:r>
      <w:r w:rsidR="000F62B9" w:rsidRPr="00AA317B">
        <w:rPr>
          <w:rFonts w:cstheme="minorHAnsi"/>
          <w:sz w:val="22"/>
          <w:szCs w:val="22"/>
        </w:rPr>
        <w:t xml:space="preserve"> results in decreased microtubule pulling forces in the anterior,</w:t>
      </w:r>
      <w:r w:rsidR="00D45089" w:rsidRPr="00AA317B">
        <w:rPr>
          <w:rFonts w:cstheme="minorHAnsi"/>
          <w:sz w:val="22"/>
          <w:szCs w:val="22"/>
        </w:rPr>
        <w:t xml:space="preserve"> where PKC-3 is highest,</w:t>
      </w:r>
      <w:r w:rsidR="000F62B9" w:rsidRPr="00AA317B">
        <w:rPr>
          <w:rFonts w:cstheme="minorHAnsi"/>
          <w:sz w:val="22"/>
          <w:szCs w:val="22"/>
        </w:rPr>
        <w:t xml:space="preserve"> leading to a shift in the position of the </w:t>
      </w:r>
      <w:r w:rsidRPr="00AA317B">
        <w:rPr>
          <w:rFonts w:cstheme="minorHAnsi"/>
          <w:sz w:val="22"/>
          <w:szCs w:val="22"/>
        </w:rPr>
        <w:t xml:space="preserve">mitotic </w:t>
      </w:r>
      <w:r w:rsidR="000F62B9" w:rsidRPr="00AA317B">
        <w:rPr>
          <w:rFonts w:cstheme="minorHAnsi"/>
          <w:sz w:val="22"/>
          <w:szCs w:val="22"/>
        </w:rPr>
        <w:t>spindle towards the posterior</w:t>
      </w:r>
      <w:r w:rsidR="001C27D4" w:rsidRPr="00AA317B">
        <w:rPr>
          <w:rFonts w:cstheme="minorHAnsi"/>
          <w:sz w:val="22"/>
          <w:szCs w:val="22"/>
        </w:rPr>
        <w:t xml:space="preserve">. </w:t>
      </w:r>
      <w:r w:rsidR="00661233" w:rsidRPr="00AA317B">
        <w:rPr>
          <w:rFonts w:cstheme="minorHAnsi"/>
          <w:sz w:val="22"/>
          <w:szCs w:val="22"/>
        </w:rPr>
        <w:t xml:space="preserve">PAR-2 also has a direct effect on spindle pulling forces through an unknown mechanism, </w:t>
      </w:r>
      <w:r w:rsidR="00D45089" w:rsidRPr="00AA317B">
        <w:rPr>
          <w:rFonts w:cstheme="minorHAnsi"/>
          <w:sz w:val="22"/>
          <w:szCs w:val="22"/>
        </w:rPr>
        <w:t xml:space="preserve">independently of </w:t>
      </w:r>
      <w:proofErr w:type="spellStart"/>
      <w:r w:rsidR="00D45089" w:rsidRPr="00AA317B">
        <w:rPr>
          <w:rFonts w:cstheme="minorHAnsi"/>
          <w:sz w:val="22"/>
          <w:szCs w:val="22"/>
        </w:rPr>
        <w:t>aPARs</w:t>
      </w:r>
      <w:proofErr w:type="spellEnd"/>
      <w:r w:rsidR="00D45089" w:rsidRPr="00AA317B">
        <w:rPr>
          <w:rFonts w:cstheme="minorHAnsi"/>
          <w:sz w:val="22"/>
          <w:szCs w:val="22"/>
        </w:rPr>
        <w:t xml:space="preserve">, </w:t>
      </w:r>
      <w:r w:rsidR="00661233" w:rsidRPr="00AA317B">
        <w:rPr>
          <w:rFonts w:cstheme="minorHAnsi"/>
          <w:sz w:val="22"/>
          <w:szCs w:val="22"/>
        </w:rPr>
        <w:t>which may contribute to placement of the division plane (Rodrigues).</w:t>
      </w:r>
    </w:p>
    <w:p w14:paraId="6BACCB19" w14:textId="47E2D3EE" w:rsidR="00661233" w:rsidRPr="00AA317B" w:rsidRDefault="00661233" w:rsidP="009960D1">
      <w:pPr>
        <w:jc w:val="both"/>
        <w:rPr>
          <w:rFonts w:cstheme="minorHAnsi"/>
          <w:sz w:val="22"/>
          <w:szCs w:val="22"/>
        </w:rPr>
      </w:pPr>
    </w:p>
    <w:p w14:paraId="63E92F58" w14:textId="77777777" w:rsidR="00D45089" w:rsidRPr="00AA317B" w:rsidRDefault="00D45089" w:rsidP="009960D1">
      <w:pPr>
        <w:jc w:val="both"/>
        <w:rPr>
          <w:rFonts w:cstheme="minorHAnsi"/>
          <w:sz w:val="22"/>
          <w:szCs w:val="22"/>
        </w:rPr>
      </w:pPr>
    </w:p>
    <w:p w14:paraId="5EF878F6" w14:textId="6F9B3E03" w:rsidR="00661233" w:rsidRPr="00AA317B" w:rsidRDefault="009960D1" w:rsidP="009960D1">
      <w:pPr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Segregation of f</w:t>
      </w:r>
      <w:r w:rsidR="00661233" w:rsidRPr="00AA317B">
        <w:rPr>
          <w:rFonts w:cstheme="minorHAnsi"/>
          <w:b/>
          <w:bCs/>
          <w:sz w:val="22"/>
          <w:szCs w:val="22"/>
        </w:rPr>
        <w:t>ate determinants</w:t>
      </w:r>
    </w:p>
    <w:p w14:paraId="7D45715F" w14:textId="77777777" w:rsidR="00661233" w:rsidRPr="00AA317B" w:rsidRDefault="00661233" w:rsidP="009960D1">
      <w:pPr>
        <w:jc w:val="both"/>
        <w:rPr>
          <w:rFonts w:cstheme="minorHAnsi"/>
          <w:sz w:val="22"/>
          <w:szCs w:val="22"/>
        </w:rPr>
      </w:pPr>
    </w:p>
    <w:p w14:paraId="5FE47302" w14:textId="54F3714F" w:rsidR="005A1C55" w:rsidRPr="00AA317B" w:rsidRDefault="00727F97" w:rsidP="009960D1">
      <w:pPr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 xml:space="preserve">As well as differing in size, the two daughter cells differ in </w:t>
      </w:r>
      <w:proofErr w:type="gramStart"/>
      <w:r w:rsidRPr="00AA317B">
        <w:rPr>
          <w:rFonts w:cstheme="minorHAnsi"/>
          <w:sz w:val="22"/>
          <w:szCs w:val="22"/>
        </w:rPr>
        <w:t>a number of</w:t>
      </w:r>
      <w:proofErr w:type="gramEnd"/>
      <w:r w:rsidRPr="00AA317B">
        <w:rPr>
          <w:rFonts w:cstheme="minorHAnsi"/>
          <w:sz w:val="22"/>
          <w:szCs w:val="22"/>
        </w:rPr>
        <w:t xml:space="preserve"> cytoplasmic components which define cell fate during development, which is also set up by signalling from the PARs.</w:t>
      </w:r>
      <w:r w:rsidR="009960D1">
        <w:rPr>
          <w:rFonts w:cstheme="minorHAnsi"/>
          <w:sz w:val="22"/>
          <w:szCs w:val="22"/>
        </w:rPr>
        <w:t xml:space="preserve"> </w:t>
      </w:r>
      <w:r w:rsidRPr="00AA317B">
        <w:rPr>
          <w:rFonts w:cstheme="minorHAnsi"/>
          <w:sz w:val="22"/>
          <w:szCs w:val="22"/>
        </w:rPr>
        <w:t>Immediately downstream of the PARs is MEX-5, which is organised into a</w:t>
      </w:r>
      <w:r w:rsidR="005A1C55" w:rsidRPr="00AA317B">
        <w:rPr>
          <w:rFonts w:cstheme="minorHAnsi"/>
          <w:sz w:val="22"/>
          <w:szCs w:val="22"/>
        </w:rPr>
        <w:t xml:space="preserve"> cytoplasmic gradient of MEX-5 in response to asymmetry of PAR-1</w:t>
      </w:r>
      <w:r w:rsidR="000F62B9" w:rsidRPr="00AA317B">
        <w:rPr>
          <w:rFonts w:cstheme="minorHAnsi"/>
          <w:sz w:val="22"/>
          <w:szCs w:val="22"/>
        </w:rPr>
        <w:t xml:space="preserve">. </w:t>
      </w:r>
      <w:r w:rsidR="005A1C55" w:rsidRPr="00AA317B">
        <w:rPr>
          <w:rFonts w:cstheme="minorHAnsi"/>
          <w:sz w:val="22"/>
          <w:szCs w:val="22"/>
        </w:rPr>
        <w:t xml:space="preserve">PAR-1 phosphorylates MEX-5 (Griffin), which increases its mobility. Working against the action of a uniform phosphatase, PP2A, this leads to an asymmetry in MEX mobility, which leads to accumulation at the anterior where mobility is lowest. &lt;Computer models, Griffin&gt;. </w:t>
      </w:r>
    </w:p>
    <w:p w14:paraId="4AC33C50" w14:textId="62660364" w:rsidR="000A5DBA" w:rsidRPr="00AA317B" w:rsidRDefault="000A5DBA" w:rsidP="009960D1">
      <w:pPr>
        <w:jc w:val="both"/>
        <w:rPr>
          <w:rFonts w:cstheme="minorHAnsi"/>
          <w:sz w:val="22"/>
          <w:szCs w:val="22"/>
        </w:rPr>
      </w:pPr>
    </w:p>
    <w:p w14:paraId="7E9D10AE" w14:textId="715D8873" w:rsidR="000F62B9" w:rsidRPr="00AA317B" w:rsidRDefault="000F62B9" w:rsidP="009960D1">
      <w:pPr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>This MEX gradient then sets up a P granule asymmetry by regulating growth and dissolution of phase-separated P-granule droplets (</w:t>
      </w:r>
      <w:proofErr w:type="spellStart"/>
      <w:r w:rsidRPr="00AA317B">
        <w:rPr>
          <w:rFonts w:cstheme="minorHAnsi"/>
          <w:sz w:val="22"/>
          <w:szCs w:val="22"/>
        </w:rPr>
        <w:t>Brangwynne</w:t>
      </w:r>
      <w:proofErr w:type="spellEnd"/>
      <w:r w:rsidRPr="00AA317B">
        <w:rPr>
          <w:rFonts w:cstheme="minorHAnsi"/>
          <w:sz w:val="22"/>
          <w:szCs w:val="22"/>
        </w:rPr>
        <w:t>). These granules dominate in the posterior, so are inherited by the P1 cell after cell division. The granules contain fate determinants which are responsible for specifying germ-line fate in the P lineage.</w:t>
      </w:r>
    </w:p>
    <w:p w14:paraId="129892D0" w14:textId="77777777" w:rsidR="000F62B9" w:rsidRPr="00AA317B" w:rsidRDefault="000F62B9" w:rsidP="009960D1">
      <w:pPr>
        <w:jc w:val="both"/>
        <w:rPr>
          <w:rFonts w:cstheme="minorHAnsi"/>
          <w:sz w:val="22"/>
          <w:szCs w:val="22"/>
        </w:rPr>
      </w:pPr>
    </w:p>
    <w:p w14:paraId="5FE68418" w14:textId="296EF18B" w:rsidR="005A1C55" w:rsidRPr="00AA317B" w:rsidRDefault="00661233" w:rsidP="009960D1">
      <w:pPr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>Whilst PAR-2 plays an important role in promoting correct cortical localisation of PAR-1, this appears dispensable for proper segregation of fate determinants in in the zygote. Whilst absent from the cortex in these conditions, PAR-1 is still able to maintain a cytoplasmic concentration and activity gradient (mechanism?), meaning that MEX-5 and P-granule asymmetry are largely intact. Notably, however, localisation of fate determinants is impaired at later stages in the embryo in these conditions. Thus, a primary function of the PAR-1/PAR-2 interaction may be to ensure that PAR-1 is segregated and enriched through the germ line, so that downstream signalling can continue in, and be restricted to, the developing P-lineage.</w:t>
      </w:r>
      <w:r w:rsidR="000F62B9" w:rsidRPr="00AA317B">
        <w:rPr>
          <w:rFonts w:cstheme="minorHAnsi"/>
          <w:sz w:val="22"/>
          <w:szCs w:val="22"/>
        </w:rPr>
        <w:t xml:space="preserve"> </w:t>
      </w:r>
    </w:p>
    <w:sectPr w:rsidR="005A1C55" w:rsidRPr="00AA317B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33"/>
    <w:rsid w:val="0009359B"/>
    <w:rsid w:val="000A5DBA"/>
    <w:rsid w:val="000F62B9"/>
    <w:rsid w:val="00100BF8"/>
    <w:rsid w:val="00131B38"/>
    <w:rsid w:val="001C27D4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A1C55"/>
    <w:rsid w:val="005D37DD"/>
    <w:rsid w:val="00613ED3"/>
    <w:rsid w:val="00625F45"/>
    <w:rsid w:val="00661233"/>
    <w:rsid w:val="0066186F"/>
    <w:rsid w:val="00682193"/>
    <w:rsid w:val="006E603D"/>
    <w:rsid w:val="006F1FA4"/>
    <w:rsid w:val="00727F97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960D1"/>
    <w:rsid w:val="009A464B"/>
    <w:rsid w:val="009C4895"/>
    <w:rsid w:val="009D284F"/>
    <w:rsid w:val="00AA317B"/>
    <w:rsid w:val="00AF5864"/>
    <w:rsid w:val="00B01922"/>
    <w:rsid w:val="00B05A3C"/>
    <w:rsid w:val="00C2610F"/>
    <w:rsid w:val="00C55C96"/>
    <w:rsid w:val="00CD4690"/>
    <w:rsid w:val="00D45089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9687"/>
  <w14:defaultImageDpi w14:val="32767"/>
  <w15:chartTrackingRefBased/>
  <w15:docId w15:val="{BFF89894-8E98-A64F-BDF7-95E02FB3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6</cp:revision>
  <dcterms:created xsi:type="dcterms:W3CDTF">2021-12-02T14:05:00Z</dcterms:created>
  <dcterms:modified xsi:type="dcterms:W3CDTF">2022-01-10T14:29:00Z</dcterms:modified>
</cp:coreProperties>
</file>