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4CB6F" w14:textId="581044C5" w:rsidR="007E7B1A" w:rsidRPr="00922941" w:rsidRDefault="007E7B1A" w:rsidP="00922941">
      <w:pPr>
        <w:spacing w:line="360" w:lineRule="auto"/>
        <w:jc w:val="both"/>
        <w:rPr>
          <w:rFonts w:cstheme="minorHAnsi"/>
          <w:b/>
          <w:bCs/>
          <w:sz w:val="22"/>
          <w:szCs w:val="22"/>
        </w:rPr>
      </w:pPr>
      <w:r w:rsidRPr="00922941">
        <w:rPr>
          <w:rFonts w:cstheme="minorHAnsi"/>
          <w:b/>
          <w:bCs/>
          <w:sz w:val="22"/>
          <w:szCs w:val="22"/>
        </w:rPr>
        <w:t xml:space="preserve">Establishment </w:t>
      </w:r>
    </w:p>
    <w:p w14:paraId="2A3D49A9" w14:textId="3D692A47" w:rsidR="007E7B1A" w:rsidRPr="00922941" w:rsidRDefault="007E7B1A" w:rsidP="00922941">
      <w:pPr>
        <w:spacing w:line="360" w:lineRule="auto"/>
        <w:jc w:val="both"/>
        <w:rPr>
          <w:rFonts w:cstheme="minorHAnsi"/>
          <w:i/>
          <w:iCs/>
          <w:sz w:val="22"/>
          <w:szCs w:val="22"/>
        </w:rPr>
      </w:pPr>
    </w:p>
    <w:p w14:paraId="6E74A64F" w14:textId="702E4B66" w:rsidR="004D2F0E" w:rsidRPr="00922941" w:rsidRDefault="004D2F0E" w:rsidP="00922941">
      <w:pPr>
        <w:spacing w:line="360" w:lineRule="auto"/>
        <w:jc w:val="both"/>
        <w:rPr>
          <w:rFonts w:cstheme="minorHAnsi"/>
          <w:sz w:val="22"/>
          <w:szCs w:val="22"/>
        </w:rPr>
      </w:pPr>
      <w:r w:rsidRPr="00922941">
        <w:rPr>
          <w:rFonts w:cstheme="minorHAnsi"/>
          <w:sz w:val="22"/>
          <w:szCs w:val="22"/>
        </w:rPr>
        <w:t xml:space="preserve">As previously mentioned, PAR polarity doesn’t occur spontaneously, requiring a trigger so that polarity happens at the correct time and with the correct orientation. </w:t>
      </w:r>
      <w:r w:rsidRPr="00922941">
        <w:rPr>
          <w:rFonts w:cstheme="minorHAnsi"/>
          <w:sz w:val="22"/>
          <w:szCs w:val="22"/>
          <w:lang w:val="en-US"/>
        </w:rPr>
        <w:t xml:space="preserve">Prior to the establishment of asymmetry, </w:t>
      </w:r>
      <w:proofErr w:type="spellStart"/>
      <w:r w:rsidRPr="00922941">
        <w:rPr>
          <w:rFonts w:cstheme="minorHAnsi"/>
          <w:sz w:val="22"/>
          <w:szCs w:val="22"/>
          <w:lang w:val="en-US"/>
        </w:rPr>
        <w:t>aPARs</w:t>
      </w:r>
      <w:proofErr w:type="spellEnd"/>
      <w:r w:rsidRPr="00922941">
        <w:rPr>
          <w:rFonts w:cstheme="minorHAnsi"/>
          <w:sz w:val="22"/>
          <w:szCs w:val="22"/>
          <w:lang w:val="en-US"/>
        </w:rPr>
        <w:t xml:space="preserve"> are uniformly enriched on the cortex, and exclude </w:t>
      </w:r>
      <w:proofErr w:type="spellStart"/>
      <w:r w:rsidRPr="00922941">
        <w:rPr>
          <w:rFonts w:cstheme="minorHAnsi"/>
          <w:sz w:val="22"/>
          <w:szCs w:val="22"/>
          <w:lang w:val="en-US"/>
        </w:rPr>
        <w:t>pPARs</w:t>
      </w:r>
      <w:proofErr w:type="spellEnd"/>
      <w:r w:rsidRPr="00922941">
        <w:rPr>
          <w:rFonts w:cstheme="minorHAnsi"/>
          <w:sz w:val="22"/>
          <w:szCs w:val="22"/>
          <w:lang w:val="en-US"/>
        </w:rPr>
        <w:t xml:space="preserve"> through antagonistic interactions. Polarity is then triggered by signals from the MTOC which forms near the site of sperm entry, via two redundant pathways.</w:t>
      </w:r>
    </w:p>
    <w:p w14:paraId="7E6EDAFA" w14:textId="3B0F7347" w:rsidR="004D2F0E" w:rsidRPr="00922941" w:rsidRDefault="004D2F0E" w:rsidP="00922941">
      <w:pPr>
        <w:spacing w:line="360" w:lineRule="auto"/>
        <w:jc w:val="both"/>
        <w:rPr>
          <w:rFonts w:cstheme="minorHAnsi"/>
          <w:b/>
          <w:bCs/>
          <w:sz w:val="22"/>
          <w:szCs w:val="22"/>
          <w:lang w:val="en-US"/>
        </w:rPr>
      </w:pPr>
    </w:p>
    <w:p w14:paraId="5AC641EF" w14:textId="77777777" w:rsidR="004D2F0E" w:rsidRPr="00922941" w:rsidRDefault="004D2F0E" w:rsidP="00922941">
      <w:pPr>
        <w:spacing w:line="360" w:lineRule="auto"/>
        <w:jc w:val="both"/>
        <w:rPr>
          <w:rFonts w:cstheme="minorHAnsi"/>
          <w:b/>
          <w:bCs/>
          <w:sz w:val="22"/>
          <w:szCs w:val="22"/>
          <w:lang w:val="en-US"/>
        </w:rPr>
      </w:pPr>
    </w:p>
    <w:p w14:paraId="3316234C" w14:textId="13699FA2" w:rsidR="007E7B1A" w:rsidRPr="00922941" w:rsidRDefault="004D2F0E" w:rsidP="00922941">
      <w:pPr>
        <w:spacing w:line="360" w:lineRule="auto"/>
        <w:jc w:val="both"/>
        <w:rPr>
          <w:rFonts w:cstheme="minorHAnsi"/>
          <w:b/>
          <w:bCs/>
          <w:sz w:val="22"/>
          <w:szCs w:val="22"/>
        </w:rPr>
      </w:pPr>
      <w:r w:rsidRPr="00922941">
        <w:rPr>
          <w:rFonts w:cstheme="minorHAnsi"/>
          <w:b/>
          <w:bCs/>
          <w:sz w:val="22"/>
          <w:szCs w:val="22"/>
        </w:rPr>
        <w:t>Flows</w:t>
      </w:r>
    </w:p>
    <w:p w14:paraId="7354F2DF" w14:textId="3C3B547C" w:rsidR="007E7B1A" w:rsidRPr="00922941" w:rsidRDefault="007E7B1A" w:rsidP="00922941">
      <w:pPr>
        <w:spacing w:line="360" w:lineRule="auto"/>
        <w:jc w:val="both"/>
        <w:rPr>
          <w:rFonts w:cstheme="minorHAnsi"/>
          <w:sz w:val="22"/>
          <w:szCs w:val="22"/>
        </w:rPr>
      </w:pPr>
    </w:p>
    <w:p w14:paraId="5042693C" w14:textId="2E03FA1B" w:rsidR="0059254A" w:rsidRPr="00922941" w:rsidRDefault="007C7DE1" w:rsidP="00922941">
      <w:pPr>
        <w:spacing w:line="360" w:lineRule="auto"/>
        <w:jc w:val="both"/>
        <w:rPr>
          <w:rFonts w:cstheme="minorHAnsi"/>
          <w:sz w:val="22"/>
          <w:szCs w:val="22"/>
        </w:rPr>
      </w:pPr>
      <w:r w:rsidRPr="00922941">
        <w:rPr>
          <w:rFonts w:cstheme="minorHAnsi"/>
          <w:sz w:val="22"/>
          <w:szCs w:val="22"/>
        </w:rPr>
        <w:t>A first mechanism involves</w:t>
      </w:r>
      <w:r w:rsidR="0059254A" w:rsidRPr="00922941">
        <w:rPr>
          <w:rFonts w:cstheme="minorHAnsi"/>
          <w:sz w:val="22"/>
          <w:szCs w:val="22"/>
        </w:rPr>
        <w:t xml:space="preserve"> a </w:t>
      </w:r>
      <w:r w:rsidRPr="00922941">
        <w:rPr>
          <w:rFonts w:cstheme="minorHAnsi"/>
          <w:sz w:val="22"/>
          <w:szCs w:val="22"/>
        </w:rPr>
        <w:t>l</w:t>
      </w:r>
      <w:r w:rsidR="004D2F0E" w:rsidRPr="00922941">
        <w:rPr>
          <w:rFonts w:cstheme="minorHAnsi"/>
          <w:sz w:val="22"/>
          <w:szCs w:val="22"/>
        </w:rPr>
        <w:t xml:space="preserve">ocal inhibition of </w:t>
      </w:r>
      <w:proofErr w:type="spellStart"/>
      <w:r w:rsidR="004D2F0E" w:rsidRPr="00922941">
        <w:rPr>
          <w:rFonts w:cstheme="minorHAnsi"/>
          <w:sz w:val="22"/>
          <w:szCs w:val="22"/>
        </w:rPr>
        <w:t>RhoA</w:t>
      </w:r>
      <w:proofErr w:type="spellEnd"/>
      <w:r w:rsidRPr="00922941">
        <w:rPr>
          <w:rFonts w:cstheme="minorHAnsi"/>
          <w:sz w:val="22"/>
          <w:szCs w:val="22"/>
        </w:rPr>
        <w:t xml:space="preserve"> activity, which downregulates actomyosin contractility at the posterior of the cell. </w:t>
      </w:r>
      <w:r w:rsidR="0059254A" w:rsidRPr="00922941">
        <w:rPr>
          <w:rFonts w:cstheme="minorHAnsi"/>
          <w:sz w:val="22"/>
          <w:szCs w:val="22"/>
        </w:rPr>
        <w:t>T</w:t>
      </w:r>
      <w:r w:rsidRPr="00922941">
        <w:rPr>
          <w:rFonts w:cstheme="minorHAnsi"/>
          <w:sz w:val="22"/>
          <w:szCs w:val="22"/>
        </w:rPr>
        <w:t xml:space="preserve">his </w:t>
      </w:r>
      <w:r w:rsidR="00C77FDC" w:rsidRPr="00922941">
        <w:rPr>
          <w:rFonts w:cstheme="minorHAnsi"/>
          <w:sz w:val="22"/>
          <w:szCs w:val="22"/>
        </w:rPr>
        <w:t xml:space="preserve">sets up a spatial gradient of contractility, </w:t>
      </w:r>
      <w:r w:rsidRPr="00922941">
        <w:rPr>
          <w:rFonts w:cstheme="minorHAnsi"/>
          <w:sz w:val="22"/>
          <w:szCs w:val="22"/>
        </w:rPr>
        <w:t>which leads</w:t>
      </w:r>
      <w:r w:rsidR="00C77FDC" w:rsidRPr="00922941">
        <w:rPr>
          <w:rFonts w:cstheme="minorHAnsi"/>
          <w:sz w:val="22"/>
          <w:szCs w:val="22"/>
        </w:rPr>
        <w:t xml:space="preserve"> to anterior-directed cortical flow</w:t>
      </w:r>
      <w:r w:rsidRPr="00922941">
        <w:rPr>
          <w:rFonts w:cstheme="minorHAnsi"/>
          <w:sz w:val="22"/>
          <w:szCs w:val="22"/>
        </w:rPr>
        <w:t>s</w:t>
      </w:r>
      <w:r w:rsidR="00C77FDC" w:rsidRPr="00922941">
        <w:rPr>
          <w:rFonts w:cstheme="minorHAnsi"/>
          <w:sz w:val="22"/>
          <w:szCs w:val="22"/>
        </w:rPr>
        <w:t xml:space="preserve">. </w:t>
      </w:r>
      <w:r w:rsidR="0059254A" w:rsidRPr="00922941">
        <w:rPr>
          <w:rFonts w:cstheme="minorHAnsi"/>
          <w:sz w:val="22"/>
          <w:szCs w:val="22"/>
        </w:rPr>
        <w:t xml:space="preserve">The </w:t>
      </w:r>
      <w:proofErr w:type="spellStart"/>
      <w:r w:rsidR="0059254A" w:rsidRPr="00922941">
        <w:rPr>
          <w:rFonts w:cstheme="minorHAnsi"/>
          <w:sz w:val="22"/>
          <w:szCs w:val="22"/>
        </w:rPr>
        <w:t>aPARs</w:t>
      </w:r>
      <w:proofErr w:type="spellEnd"/>
      <w:r w:rsidR="0059254A" w:rsidRPr="00922941">
        <w:rPr>
          <w:rFonts w:cstheme="minorHAnsi"/>
          <w:sz w:val="22"/>
          <w:szCs w:val="22"/>
        </w:rPr>
        <w:t xml:space="preserve"> PAR-3, PAR-6 and PKC-3 </w:t>
      </w:r>
      <w:proofErr w:type="gramStart"/>
      <w:r w:rsidR="0059254A" w:rsidRPr="00922941">
        <w:rPr>
          <w:rFonts w:cstheme="minorHAnsi"/>
          <w:sz w:val="22"/>
          <w:szCs w:val="22"/>
        </w:rPr>
        <w:t>are able to</w:t>
      </w:r>
      <w:proofErr w:type="gramEnd"/>
      <w:r w:rsidR="0059254A" w:rsidRPr="00922941">
        <w:rPr>
          <w:rFonts w:cstheme="minorHAnsi"/>
          <w:sz w:val="22"/>
          <w:szCs w:val="22"/>
        </w:rPr>
        <w:t xml:space="preserve"> tap into these flows, which causes them to segregate to the anterior.</w:t>
      </w:r>
    </w:p>
    <w:p w14:paraId="141A9A35" w14:textId="77777777" w:rsidR="0059254A" w:rsidRPr="00922941" w:rsidRDefault="0059254A" w:rsidP="00922941">
      <w:pPr>
        <w:spacing w:line="360" w:lineRule="auto"/>
        <w:jc w:val="both"/>
        <w:rPr>
          <w:rFonts w:cstheme="minorHAnsi"/>
          <w:sz w:val="22"/>
          <w:szCs w:val="22"/>
        </w:rPr>
      </w:pPr>
    </w:p>
    <w:p w14:paraId="33A92AC2" w14:textId="3C311850" w:rsidR="00C77FDC" w:rsidRPr="00922941" w:rsidRDefault="00C77FDC" w:rsidP="00922941">
      <w:pPr>
        <w:spacing w:line="360" w:lineRule="auto"/>
        <w:jc w:val="both"/>
        <w:rPr>
          <w:rFonts w:cstheme="minorHAnsi"/>
          <w:sz w:val="22"/>
          <w:szCs w:val="22"/>
        </w:rPr>
      </w:pPr>
      <w:r w:rsidRPr="00922941">
        <w:rPr>
          <w:rFonts w:cstheme="minorHAnsi"/>
          <w:sz w:val="22"/>
          <w:szCs w:val="22"/>
        </w:rPr>
        <w:t>Th</w:t>
      </w:r>
      <w:r w:rsidR="0059254A" w:rsidRPr="00922941">
        <w:rPr>
          <w:rFonts w:cstheme="minorHAnsi"/>
          <w:sz w:val="22"/>
          <w:szCs w:val="22"/>
        </w:rPr>
        <w:t>e resulting</w:t>
      </w:r>
      <w:r w:rsidRPr="00922941">
        <w:rPr>
          <w:rFonts w:cstheme="minorHAnsi"/>
          <w:sz w:val="22"/>
          <w:szCs w:val="22"/>
        </w:rPr>
        <w:t xml:space="preserve"> deplet</w:t>
      </w:r>
      <w:r w:rsidR="0059254A" w:rsidRPr="00922941">
        <w:rPr>
          <w:rFonts w:cstheme="minorHAnsi"/>
          <w:sz w:val="22"/>
          <w:szCs w:val="22"/>
        </w:rPr>
        <w:t>ion of</w:t>
      </w:r>
      <w:r w:rsidRPr="00922941">
        <w:rPr>
          <w:rFonts w:cstheme="minorHAnsi"/>
          <w:sz w:val="22"/>
          <w:szCs w:val="22"/>
        </w:rPr>
        <w:t xml:space="preserve"> PKC-3 concentration in the posterior reliev</w:t>
      </w:r>
      <w:r w:rsidR="0059254A" w:rsidRPr="00922941">
        <w:rPr>
          <w:rFonts w:cstheme="minorHAnsi"/>
          <w:sz w:val="22"/>
          <w:szCs w:val="22"/>
        </w:rPr>
        <w:t>es</w:t>
      </w:r>
      <w:r w:rsidRPr="00922941">
        <w:rPr>
          <w:rFonts w:cstheme="minorHAnsi"/>
          <w:sz w:val="22"/>
          <w:szCs w:val="22"/>
        </w:rPr>
        <w:t xml:space="preserve"> antagonism of </w:t>
      </w:r>
      <w:proofErr w:type="spellStart"/>
      <w:r w:rsidRPr="00922941">
        <w:rPr>
          <w:rFonts w:cstheme="minorHAnsi"/>
          <w:sz w:val="22"/>
          <w:szCs w:val="22"/>
        </w:rPr>
        <w:t>pPARs</w:t>
      </w:r>
      <w:proofErr w:type="spellEnd"/>
      <w:r w:rsidRPr="00922941">
        <w:rPr>
          <w:rFonts w:cstheme="minorHAnsi"/>
          <w:sz w:val="22"/>
          <w:szCs w:val="22"/>
        </w:rPr>
        <w:t>, allowing them to bind in the posterior and form a nascent domain. This domain is then amplified via a series of antagonistic feedback reactions, which are described in another section. This mechanism of advective triggering followed by self-organisation is sufficient to capture the core features and dynamics of polarity in computer models of the PAR network (Goehring)</w:t>
      </w:r>
      <w:r w:rsidR="000721EF" w:rsidRPr="00922941">
        <w:rPr>
          <w:rFonts w:cstheme="minorHAnsi"/>
          <w:sz w:val="22"/>
          <w:szCs w:val="22"/>
        </w:rPr>
        <w:t>.</w:t>
      </w:r>
    </w:p>
    <w:p w14:paraId="45666C67" w14:textId="5CAD464B" w:rsidR="00C77FDC" w:rsidRPr="00922941" w:rsidRDefault="00C77FDC" w:rsidP="00922941">
      <w:pPr>
        <w:spacing w:line="360" w:lineRule="auto"/>
        <w:jc w:val="both"/>
        <w:rPr>
          <w:rFonts w:cstheme="minorHAnsi"/>
          <w:sz w:val="22"/>
          <w:szCs w:val="22"/>
        </w:rPr>
      </w:pPr>
    </w:p>
    <w:p w14:paraId="7E6E9E7B" w14:textId="3D534F83" w:rsidR="007C7DE1" w:rsidRPr="00922941" w:rsidRDefault="007C7DE1" w:rsidP="00922941">
      <w:pPr>
        <w:spacing w:line="360" w:lineRule="auto"/>
        <w:jc w:val="both"/>
        <w:rPr>
          <w:rFonts w:cstheme="minorHAnsi"/>
          <w:sz w:val="22"/>
          <w:szCs w:val="22"/>
        </w:rPr>
      </w:pPr>
      <w:r w:rsidRPr="00922941">
        <w:rPr>
          <w:rFonts w:cstheme="minorHAnsi"/>
          <w:sz w:val="22"/>
          <w:szCs w:val="22"/>
        </w:rPr>
        <w:t>Further work has shown that the PAR proteins themselves are able to feed back onto the actomyosin cortex, amplifying contractility asymmetries as polarity progresses (Gross) &lt;More here&gt;</w:t>
      </w:r>
    </w:p>
    <w:p w14:paraId="412DD1F6" w14:textId="42F13B1F" w:rsidR="007C7DE1" w:rsidRPr="00922941" w:rsidRDefault="007C7DE1" w:rsidP="00922941">
      <w:pPr>
        <w:spacing w:line="360" w:lineRule="auto"/>
        <w:jc w:val="both"/>
        <w:rPr>
          <w:rFonts w:cstheme="minorHAnsi"/>
          <w:b/>
          <w:bCs/>
          <w:sz w:val="22"/>
          <w:szCs w:val="22"/>
        </w:rPr>
      </w:pPr>
    </w:p>
    <w:p w14:paraId="3B75DD3E" w14:textId="50ED584E" w:rsidR="000721EF" w:rsidRPr="00922941" w:rsidRDefault="000721EF" w:rsidP="00922941">
      <w:pPr>
        <w:spacing w:line="360" w:lineRule="auto"/>
        <w:jc w:val="both"/>
        <w:rPr>
          <w:rFonts w:cstheme="minorHAnsi"/>
          <w:sz w:val="22"/>
          <w:szCs w:val="22"/>
        </w:rPr>
      </w:pPr>
      <w:r w:rsidRPr="00922941">
        <w:rPr>
          <w:rFonts w:cstheme="minorHAnsi"/>
          <w:sz w:val="22"/>
          <w:szCs w:val="22"/>
        </w:rPr>
        <w:t>PAR-2, and possibly LGL-1, can also feed back onto the cortex, reducing contractility in the posterior (ref), although this is inessential for proper contractility at establishment phase (Gross) and probably most important during maintenance phase, as discussed later.</w:t>
      </w:r>
    </w:p>
    <w:p w14:paraId="287152AD" w14:textId="3C617D4E" w:rsidR="004D2F0E" w:rsidRPr="00922941" w:rsidRDefault="004D2F0E" w:rsidP="00922941">
      <w:pPr>
        <w:spacing w:line="360" w:lineRule="auto"/>
        <w:jc w:val="both"/>
        <w:rPr>
          <w:rFonts w:cstheme="minorHAnsi"/>
          <w:b/>
          <w:bCs/>
          <w:sz w:val="22"/>
          <w:szCs w:val="22"/>
        </w:rPr>
      </w:pPr>
    </w:p>
    <w:p w14:paraId="0310F26E" w14:textId="77777777" w:rsidR="000721EF" w:rsidRPr="00922941" w:rsidRDefault="000721EF" w:rsidP="00922941">
      <w:pPr>
        <w:spacing w:line="360" w:lineRule="auto"/>
        <w:jc w:val="both"/>
        <w:rPr>
          <w:rFonts w:cstheme="minorHAnsi"/>
          <w:b/>
          <w:bCs/>
          <w:sz w:val="22"/>
          <w:szCs w:val="22"/>
        </w:rPr>
      </w:pPr>
    </w:p>
    <w:p w14:paraId="071754CF" w14:textId="1E7D86A6" w:rsidR="004D2F0E" w:rsidRPr="00922941" w:rsidRDefault="004D2F0E" w:rsidP="00922941">
      <w:pPr>
        <w:spacing w:line="360" w:lineRule="auto"/>
        <w:jc w:val="both"/>
        <w:rPr>
          <w:rFonts w:cstheme="minorHAnsi"/>
          <w:b/>
          <w:bCs/>
          <w:sz w:val="22"/>
          <w:szCs w:val="22"/>
        </w:rPr>
      </w:pPr>
      <w:r w:rsidRPr="00922941">
        <w:rPr>
          <w:rFonts w:cstheme="minorHAnsi"/>
          <w:b/>
          <w:bCs/>
          <w:sz w:val="22"/>
          <w:szCs w:val="22"/>
        </w:rPr>
        <w:t>Microtubules</w:t>
      </w:r>
    </w:p>
    <w:p w14:paraId="6F2BD951" w14:textId="77777777" w:rsidR="004D2F0E" w:rsidRPr="00922941" w:rsidRDefault="004D2F0E" w:rsidP="00922941">
      <w:pPr>
        <w:spacing w:line="360" w:lineRule="auto"/>
        <w:jc w:val="both"/>
        <w:rPr>
          <w:rFonts w:cstheme="minorHAnsi"/>
          <w:sz w:val="22"/>
          <w:szCs w:val="22"/>
        </w:rPr>
      </w:pPr>
    </w:p>
    <w:p w14:paraId="1CF6542B" w14:textId="77777777" w:rsidR="007E7B1A" w:rsidRPr="00922941" w:rsidRDefault="007E7B1A" w:rsidP="00922941">
      <w:pPr>
        <w:spacing w:line="360" w:lineRule="auto"/>
        <w:jc w:val="both"/>
        <w:rPr>
          <w:rFonts w:cstheme="minorHAnsi"/>
          <w:sz w:val="22"/>
          <w:szCs w:val="22"/>
        </w:rPr>
      </w:pPr>
      <w:r w:rsidRPr="00922941">
        <w:rPr>
          <w:rFonts w:cstheme="minorHAnsi"/>
          <w:sz w:val="22"/>
          <w:szCs w:val="22"/>
        </w:rPr>
        <w:t xml:space="preserve">In the absence of cortical flows, symmetry breaking still occurs, albeit later, indicating the existence of multiple symmetry breaking mechanisms. A second triggering mechanism involves an interaction </w:t>
      </w:r>
      <w:r w:rsidRPr="00922941">
        <w:rPr>
          <w:rFonts w:cstheme="minorHAnsi"/>
          <w:sz w:val="22"/>
          <w:szCs w:val="22"/>
        </w:rPr>
        <w:lastRenderedPageBreak/>
        <w:t>between PAR-2 and microtubules emanating from the sperm-donated centrosome. In no flow regimes, PAR-2 symmetry breaking occurs late, and correlates spatially and temporally with the site of MTOC-cortex contact (</w:t>
      </w:r>
      <w:proofErr w:type="spellStart"/>
      <w:r w:rsidRPr="00922941">
        <w:rPr>
          <w:rFonts w:cstheme="minorHAnsi"/>
          <w:sz w:val="22"/>
          <w:szCs w:val="22"/>
        </w:rPr>
        <w:t>Motegi</w:t>
      </w:r>
      <w:proofErr w:type="spellEnd"/>
      <w:r w:rsidRPr="00922941">
        <w:rPr>
          <w:rFonts w:cstheme="minorHAnsi"/>
          <w:sz w:val="22"/>
          <w:szCs w:val="22"/>
        </w:rPr>
        <w:t>). Treatments that disrupt microtubules, or mutants at the binding interface on PAR-2 prevent symmetry breaking in no-flow conditions.</w:t>
      </w:r>
    </w:p>
    <w:p w14:paraId="3107B28A" w14:textId="77777777" w:rsidR="007E7B1A" w:rsidRPr="00922941" w:rsidRDefault="007E7B1A" w:rsidP="00922941">
      <w:pPr>
        <w:spacing w:line="360" w:lineRule="auto"/>
        <w:jc w:val="both"/>
        <w:rPr>
          <w:rFonts w:cstheme="minorHAnsi"/>
          <w:sz w:val="22"/>
          <w:szCs w:val="22"/>
        </w:rPr>
      </w:pPr>
    </w:p>
    <w:p w14:paraId="0F592576" w14:textId="73F3197F" w:rsidR="007E7B1A" w:rsidRPr="00922941" w:rsidRDefault="007E7B1A" w:rsidP="00922941">
      <w:pPr>
        <w:spacing w:line="360" w:lineRule="auto"/>
        <w:jc w:val="both"/>
        <w:rPr>
          <w:rFonts w:cstheme="minorHAnsi"/>
          <w:sz w:val="22"/>
          <w:szCs w:val="22"/>
        </w:rPr>
      </w:pPr>
      <w:r w:rsidRPr="00922941">
        <w:rPr>
          <w:rFonts w:cstheme="minorHAnsi"/>
          <w:sz w:val="22"/>
          <w:szCs w:val="22"/>
        </w:rPr>
        <w:t xml:space="preserve">Mechanistically, this is </w:t>
      </w:r>
      <w:r w:rsidR="007C7DE1" w:rsidRPr="00922941">
        <w:rPr>
          <w:rFonts w:cstheme="minorHAnsi"/>
          <w:sz w:val="22"/>
          <w:szCs w:val="22"/>
        </w:rPr>
        <w:t>carried out</w:t>
      </w:r>
      <w:r w:rsidRPr="00922941">
        <w:rPr>
          <w:rFonts w:cstheme="minorHAnsi"/>
          <w:sz w:val="22"/>
          <w:szCs w:val="22"/>
        </w:rPr>
        <w:t xml:space="preserve"> by an interaction between PAR-2 and microtubules, which is thought to shield the phosphorylation sites on PAR-</w:t>
      </w:r>
      <w:proofErr w:type="gramStart"/>
      <w:r w:rsidRPr="00922941">
        <w:rPr>
          <w:rFonts w:cstheme="minorHAnsi"/>
          <w:sz w:val="22"/>
          <w:szCs w:val="22"/>
        </w:rPr>
        <w:t>2, and</w:t>
      </w:r>
      <w:proofErr w:type="gramEnd"/>
      <w:r w:rsidRPr="00922941">
        <w:rPr>
          <w:rFonts w:cstheme="minorHAnsi"/>
          <w:sz w:val="22"/>
          <w:szCs w:val="22"/>
        </w:rPr>
        <w:t xml:space="preserve"> has been shown to reduce phosphorylation by PKC-3 in vitro. This creates a zone of local protection in the posterior of the cell, allowing PAR-2, and thus PAR-1 to load, </w:t>
      </w:r>
      <w:r w:rsidR="007C7DE1" w:rsidRPr="00922941">
        <w:rPr>
          <w:rFonts w:cstheme="minorHAnsi"/>
          <w:sz w:val="22"/>
          <w:szCs w:val="22"/>
        </w:rPr>
        <w:t>kicking of self-organisation.</w:t>
      </w:r>
    </w:p>
    <w:p w14:paraId="69FEE4B9" w14:textId="0AC7EEC3" w:rsidR="007E7B1A" w:rsidRPr="00922941" w:rsidRDefault="007E7B1A" w:rsidP="00922941">
      <w:pPr>
        <w:spacing w:line="360" w:lineRule="auto"/>
        <w:jc w:val="both"/>
        <w:rPr>
          <w:rFonts w:cstheme="minorHAnsi"/>
          <w:sz w:val="22"/>
          <w:szCs w:val="22"/>
        </w:rPr>
      </w:pPr>
    </w:p>
    <w:p w14:paraId="331F60F8" w14:textId="77777777" w:rsidR="004D2F0E" w:rsidRPr="00922941" w:rsidRDefault="004D2F0E" w:rsidP="00922941">
      <w:pPr>
        <w:spacing w:line="360" w:lineRule="auto"/>
        <w:jc w:val="both"/>
        <w:rPr>
          <w:rFonts w:cstheme="minorHAnsi"/>
          <w:sz w:val="22"/>
          <w:szCs w:val="22"/>
        </w:rPr>
      </w:pPr>
    </w:p>
    <w:p w14:paraId="2FC5DA5D" w14:textId="6B2BFC70" w:rsidR="004D2F0E" w:rsidRPr="00922941" w:rsidRDefault="004D2F0E" w:rsidP="00922941">
      <w:pPr>
        <w:spacing w:line="360" w:lineRule="auto"/>
        <w:jc w:val="both"/>
        <w:rPr>
          <w:rFonts w:cstheme="minorHAnsi"/>
          <w:b/>
          <w:bCs/>
          <w:sz w:val="22"/>
          <w:szCs w:val="22"/>
        </w:rPr>
      </w:pPr>
      <w:r w:rsidRPr="00922941">
        <w:rPr>
          <w:rFonts w:cstheme="minorHAnsi"/>
          <w:b/>
          <w:bCs/>
          <w:sz w:val="22"/>
          <w:szCs w:val="22"/>
        </w:rPr>
        <w:t>Curvature</w:t>
      </w:r>
    </w:p>
    <w:p w14:paraId="244E4559" w14:textId="77777777" w:rsidR="004D2F0E" w:rsidRPr="00922941" w:rsidRDefault="004D2F0E" w:rsidP="00922941">
      <w:pPr>
        <w:spacing w:line="360" w:lineRule="auto"/>
        <w:jc w:val="both"/>
        <w:rPr>
          <w:rFonts w:cstheme="minorHAnsi"/>
          <w:sz w:val="22"/>
          <w:szCs w:val="22"/>
        </w:rPr>
      </w:pPr>
    </w:p>
    <w:p w14:paraId="72998AA2" w14:textId="77777777" w:rsidR="007E7B1A" w:rsidRPr="00922941" w:rsidRDefault="007E7B1A" w:rsidP="00922941">
      <w:pPr>
        <w:spacing w:line="360" w:lineRule="auto"/>
        <w:jc w:val="both"/>
        <w:rPr>
          <w:rFonts w:cstheme="minorHAnsi"/>
          <w:sz w:val="22"/>
          <w:szCs w:val="22"/>
        </w:rPr>
      </w:pPr>
      <w:r w:rsidRPr="00922941">
        <w:rPr>
          <w:rFonts w:cstheme="minorHAnsi"/>
          <w:sz w:val="22"/>
          <w:szCs w:val="22"/>
        </w:rPr>
        <w:t xml:space="preserve">Additional mechanisms may underlie triggering in some circumstances. &lt;Evidence of still breaking symmetry when other cues are lost&gt;. </w:t>
      </w:r>
      <w:r w:rsidRPr="00922941">
        <w:rPr>
          <w:rFonts w:cstheme="minorHAnsi"/>
          <w:color w:val="000000" w:themeColor="text1"/>
          <w:sz w:val="22"/>
          <w:szCs w:val="22"/>
        </w:rPr>
        <w:t xml:space="preserve">Microfabrication studies show that PAR-2 </w:t>
      </w:r>
      <w:proofErr w:type="gramStart"/>
      <w:r w:rsidRPr="00922941">
        <w:rPr>
          <w:rFonts w:cstheme="minorHAnsi"/>
          <w:color w:val="000000" w:themeColor="text1"/>
          <w:sz w:val="22"/>
          <w:szCs w:val="22"/>
        </w:rPr>
        <w:t>has a preference for</w:t>
      </w:r>
      <w:proofErr w:type="gramEnd"/>
      <w:r w:rsidRPr="00922941">
        <w:rPr>
          <w:rFonts w:cstheme="minorHAnsi"/>
          <w:color w:val="000000" w:themeColor="text1"/>
          <w:sz w:val="22"/>
          <w:szCs w:val="22"/>
        </w:rPr>
        <w:t xml:space="preserve"> curved membranes. This may lead to preferential binding of PAR-2 at the poles of cells, which has been suggested to act as a symmetry breaking cue in cases where normal symmetry breaking is </w:t>
      </w:r>
      <w:proofErr w:type="spellStart"/>
      <w:r w:rsidRPr="00922941">
        <w:rPr>
          <w:rFonts w:cstheme="minorHAnsi"/>
          <w:color w:val="000000" w:themeColor="text1"/>
          <w:sz w:val="22"/>
          <w:szCs w:val="22"/>
        </w:rPr>
        <w:t>misregulated</w:t>
      </w:r>
      <w:proofErr w:type="spellEnd"/>
      <w:r w:rsidRPr="00922941">
        <w:rPr>
          <w:rFonts w:cstheme="minorHAnsi"/>
          <w:color w:val="000000" w:themeColor="text1"/>
          <w:sz w:val="22"/>
          <w:szCs w:val="22"/>
        </w:rPr>
        <w:t>, (</w:t>
      </w:r>
      <w:proofErr w:type="spellStart"/>
      <w:r w:rsidRPr="00922941">
        <w:rPr>
          <w:rFonts w:cstheme="minorHAnsi"/>
          <w:color w:val="000000" w:themeColor="text1"/>
          <w:sz w:val="22"/>
          <w:szCs w:val="22"/>
        </w:rPr>
        <w:t>Klinkert</w:t>
      </w:r>
      <w:proofErr w:type="spellEnd"/>
      <w:r w:rsidRPr="00922941">
        <w:rPr>
          <w:rFonts w:cstheme="minorHAnsi"/>
          <w:color w:val="000000" w:themeColor="text1"/>
          <w:sz w:val="22"/>
          <w:szCs w:val="22"/>
        </w:rPr>
        <w:t>). The mechanistic basis for this proposed curvature sensitivity is unclear.</w:t>
      </w:r>
    </w:p>
    <w:p w14:paraId="64615163" w14:textId="77777777" w:rsidR="0084130D" w:rsidRPr="00922941" w:rsidRDefault="0084130D" w:rsidP="00922941">
      <w:pPr>
        <w:spacing w:line="360" w:lineRule="auto"/>
        <w:rPr>
          <w:sz w:val="22"/>
          <w:szCs w:val="22"/>
        </w:rPr>
      </w:pPr>
    </w:p>
    <w:sectPr w:rsidR="0084130D" w:rsidRPr="00922941"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B1A"/>
    <w:rsid w:val="000721EF"/>
    <w:rsid w:val="0009359B"/>
    <w:rsid w:val="00100BF8"/>
    <w:rsid w:val="00131B38"/>
    <w:rsid w:val="002170E4"/>
    <w:rsid w:val="0025480F"/>
    <w:rsid w:val="00281D4D"/>
    <w:rsid w:val="003256AB"/>
    <w:rsid w:val="003D3A4F"/>
    <w:rsid w:val="00401772"/>
    <w:rsid w:val="004143EC"/>
    <w:rsid w:val="00420522"/>
    <w:rsid w:val="00427675"/>
    <w:rsid w:val="00440147"/>
    <w:rsid w:val="004425BF"/>
    <w:rsid w:val="004627F3"/>
    <w:rsid w:val="004821CA"/>
    <w:rsid w:val="00495343"/>
    <w:rsid w:val="004D2F0E"/>
    <w:rsid w:val="00556AF7"/>
    <w:rsid w:val="00571055"/>
    <w:rsid w:val="0059254A"/>
    <w:rsid w:val="005D37DD"/>
    <w:rsid w:val="00613ED3"/>
    <w:rsid w:val="00625F45"/>
    <w:rsid w:val="0066186F"/>
    <w:rsid w:val="00682193"/>
    <w:rsid w:val="006E603D"/>
    <w:rsid w:val="006F1FA4"/>
    <w:rsid w:val="007502D2"/>
    <w:rsid w:val="007C7DE1"/>
    <w:rsid w:val="007E7B1A"/>
    <w:rsid w:val="00834D43"/>
    <w:rsid w:val="00835137"/>
    <w:rsid w:val="0084130D"/>
    <w:rsid w:val="008B1233"/>
    <w:rsid w:val="008C4ABF"/>
    <w:rsid w:val="00922941"/>
    <w:rsid w:val="00932FD1"/>
    <w:rsid w:val="00941258"/>
    <w:rsid w:val="0095046D"/>
    <w:rsid w:val="009A464B"/>
    <w:rsid w:val="009C4895"/>
    <w:rsid w:val="009D284F"/>
    <w:rsid w:val="00AF5864"/>
    <w:rsid w:val="00B01922"/>
    <w:rsid w:val="00B05A3C"/>
    <w:rsid w:val="00C2610F"/>
    <w:rsid w:val="00C55C96"/>
    <w:rsid w:val="00C77FDC"/>
    <w:rsid w:val="00CD4690"/>
    <w:rsid w:val="00D76737"/>
    <w:rsid w:val="00DA0883"/>
    <w:rsid w:val="00DA0E47"/>
    <w:rsid w:val="00DD1B22"/>
    <w:rsid w:val="00EF13D5"/>
    <w:rsid w:val="00F35180"/>
    <w:rsid w:val="00FC468B"/>
    <w:rsid w:val="00FD12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A6F453B"/>
  <w14:defaultImageDpi w14:val="32767"/>
  <w15:chartTrackingRefBased/>
  <w15:docId w15:val="{733759B5-6922-6C4D-9097-57A86D9B8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E7B1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4</cp:revision>
  <dcterms:created xsi:type="dcterms:W3CDTF">2021-12-02T14:06:00Z</dcterms:created>
  <dcterms:modified xsi:type="dcterms:W3CDTF">2021-12-03T09:38:00Z</dcterms:modified>
</cp:coreProperties>
</file>