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DD46" w14:textId="71F0C6BB" w:rsidR="0084130D" w:rsidRPr="00533834" w:rsidRDefault="00AF3B37" w:rsidP="001730C2">
      <w:pPr>
        <w:jc w:val="both"/>
        <w:rPr>
          <w:b/>
          <w:bCs/>
          <w:sz w:val="22"/>
          <w:szCs w:val="22"/>
        </w:rPr>
      </w:pPr>
      <w:r w:rsidRPr="00533834">
        <w:rPr>
          <w:b/>
          <w:bCs/>
          <w:sz w:val="22"/>
          <w:szCs w:val="22"/>
        </w:rPr>
        <w:t>Polarity maintenance notes</w:t>
      </w:r>
    </w:p>
    <w:p w14:paraId="27DB6112" w14:textId="733666A7" w:rsidR="00AF3B37" w:rsidRDefault="00AF3B37" w:rsidP="001730C2">
      <w:pPr>
        <w:jc w:val="both"/>
        <w:rPr>
          <w:b/>
          <w:bCs/>
          <w:sz w:val="22"/>
          <w:szCs w:val="22"/>
        </w:rPr>
      </w:pPr>
    </w:p>
    <w:p w14:paraId="090D1254" w14:textId="77777777" w:rsidR="00FE7804" w:rsidRPr="00533834" w:rsidRDefault="00FE7804" w:rsidP="001730C2">
      <w:pPr>
        <w:jc w:val="both"/>
        <w:rPr>
          <w:b/>
          <w:bCs/>
          <w:sz w:val="22"/>
          <w:szCs w:val="22"/>
        </w:rPr>
      </w:pPr>
    </w:p>
    <w:p w14:paraId="42B4A6A1" w14:textId="23869557" w:rsidR="0032742A" w:rsidRDefault="00FE7804" w:rsidP="0032742A">
      <w:pPr>
        <w:jc w:val="both"/>
        <w:rPr>
          <w:sz w:val="22"/>
          <w:szCs w:val="22"/>
        </w:rPr>
      </w:pPr>
      <w:r>
        <w:rPr>
          <w:sz w:val="22"/>
          <w:szCs w:val="22"/>
        </w:rPr>
        <w:t>Reminder of mutual antagonism</w:t>
      </w:r>
    </w:p>
    <w:p w14:paraId="124EC709" w14:textId="77777777" w:rsidR="00FE7804" w:rsidRDefault="00FE7804" w:rsidP="0032742A">
      <w:pPr>
        <w:jc w:val="both"/>
        <w:rPr>
          <w:b/>
          <w:bCs/>
          <w:sz w:val="22"/>
          <w:szCs w:val="22"/>
        </w:rPr>
      </w:pPr>
    </w:p>
    <w:p w14:paraId="1CB4C00C" w14:textId="77777777" w:rsidR="0032742A" w:rsidRPr="0032742A" w:rsidRDefault="0032742A" w:rsidP="0032742A">
      <w:pPr>
        <w:jc w:val="both"/>
        <w:rPr>
          <w:b/>
          <w:bCs/>
          <w:sz w:val="22"/>
          <w:szCs w:val="22"/>
        </w:rPr>
      </w:pPr>
    </w:p>
    <w:p w14:paraId="62EBB7B7" w14:textId="1A972D95" w:rsidR="00900FCA" w:rsidRPr="00533834" w:rsidRDefault="00FE7804" w:rsidP="001730C2">
      <w:pPr>
        <w:jc w:val="both"/>
        <w:rPr>
          <w:b/>
          <w:bCs/>
          <w:sz w:val="22"/>
          <w:szCs w:val="22"/>
        </w:rPr>
      </w:pPr>
      <w:r>
        <w:rPr>
          <w:b/>
          <w:bCs/>
          <w:sz w:val="22"/>
          <w:szCs w:val="22"/>
        </w:rPr>
        <w:t>PKC-3 pathway</w:t>
      </w:r>
    </w:p>
    <w:p w14:paraId="35B98486" w14:textId="5584C528" w:rsidR="00900FCA" w:rsidRDefault="00900FCA" w:rsidP="001730C2">
      <w:pPr>
        <w:jc w:val="both"/>
        <w:rPr>
          <w:b/>
          <w:bCs/>
          <w:sz w:val="22"/>
          <w:szCs w:val="22"/>
        </w:rPr>
      </w:pPr>
    </w:p>
    <w:p w14:paraId="7D0A3D4A" w14:textId="71B94504" w:rsidR="002F3527" w:rsidRPr="00533834" w:rsidRDefault="00FE7804" w:rsidP="00FE7804">
      <w:pPr>
        <w:jc w:val="both"/>
        <w:rPr>
          <w:sz w:val="22"/>
          <w:szCs w:val="22"/>
        </w:rPr>
      </w:pPr>
      <w:r>
        <w:rPr>
          <w:sz w:val="22"/>
          <w:szCs w:val="22"/>
        </w:rPr>
        <w:t xml:space="preserve">Antagonism from </w:t>
      </w:r>
      <w:proofErr w:type="spellStart"/>
      <w:r>
        <w:rPr>
          <w:sz w:val="22"/>
          <w:szCs w:val="22"/>
        </w:rPr>
        <w:t>aPARs</w:t>
      </w:r>
      <w:proofErr w:type="spellEnd"/>
      <w:r>
        <w:rPr>
          <w:sz w:val="22"/>
          <w:szCs w:val="22"/>
        </w:rPr>
        <w:t xml:space="preserve"> to </w:t>
      </w:r>
      <w:proofErr w:type="spellStart"/>
      <w:r>
        <w:rPr>
          <w:sz w:val="22"/>
          <w:szCs w:val="22"/>
        </w:rPr>
        <w:t>pPARs</w:t>
      </w:r>
      <w:proofErr w:type="spellEnd"/>
      <w:r>
        <w:rPr>
          <w:sz w:val="22"/>
          <w:szCs w:val="22"/>
        </w:rPr>
        <w:t xml:space="preserve"> id driven exclusively by PKC-3. </w:t>
      </w:r>
      <w:r w:rsidR="002F3527" w:rsidRPr="00533834">
        <w:rPr>
          <w:sz w:val="22"/>
          <w:szCs w:val="22"/>
        </w:rPr>
        <w:t>&lt;</w:t>
      </w:r>
      <w:proofErr w:type="spellStart"/>
      <w:r w:rsidR="002F3527" w:rsidRPr="00533834">
        <w:rPr>
          <w:sz w:val="22"/>
          <w:szCs w:val="22"/>
        </w:rPr>
        <w:t>FxR</w:t>
      </w:r>
      <w:proofErr w:type="spellEnd"/>
      <w:r w:rsidR="002F3527" w:rsidRPr="00533834">
        <w:rPr>
          <w:sz w:val="22"/>
          <w:szCs w:val="22"/>
        </w:rPr>
        <w:t>, see Soriano&gt;</w:t>
      </w:r>
      <w:r>
        <w:rPr>
          <w:sz w:val="22"/>
          <w:szCs w:val="22"/>
        </w:rPr>
        <w:t>. Phosphorylation adds negative charge to the proteins, which repels them from the membrane.</w:t>
      </w:r>
    </w:p>
    <w:p w14:paraId="462AB3B5" w14:textId="77777777" w:rsidR="002F3527" w:rsidRPr="00533834" w:rsidRDefault="002F3527" w:rsidP="001730C2">
      <w:pPr>
        <w:jc w:val="both"/>
        <w:rPr>
          <w:b/>
          <w:bCs/>
          <w:sz w:val="22"/>
          <w:szCs w:val="22"/>
        </w:rPr>
      </w:pPr>
    </w:p>
    <w:p w14:paraId="787411E9" w14:textId="14A8A5CE" w:rsidR="00900FCA" w:rsidRPr="00533834" w:rsidRDefault="00900FCA" w:rsidP="001730C2">
      <w:pPr>
        <w:jc w:val="both"/>
        <w:rPr>
          <w:sz w:val="22"/>
          <w:szCs w:val="22"/>
        </w:rPr>
      </w:pPr>
      <w:r w:rsidRPr="00533834">
        <w:rPr>
          <w:sz w:val="22"/>
          <w:szCs w:val="22"/>
        </w:rPr>
        <w:t>In the case of PAR-1 and LGL-1, phosphorylation is at a single site within the membrane association domain (</w:t>
      </w:r>
      <w:proofErr w:type="spellStart"/>
      <w:r w:rsidRPr="00533834">
        <w:rPr>
          <w:sz w:val="22"/>
          <w:szCs w:val="22"/>
        </w:rPr>
        <w:t>Hoege</w:t>
      </w:r>
      <w:proofErr w:type="spellEnd"/>
      <w:r w:rsidRPr="00533834">
        <w:rPr>
          <w:sz w:val="22"/>
          <w:szCs w:val="22"/>
        </w:rPr>
        <w:t xml:space="preserve">, </w:t>
      </w:r>
      <w:proofErr w:type="spellStart"/>
      <w:r w:rsidRPr="00533834">
        <w:rPr>
          <w:sz w:val="22"/>
          <w:szCs w:val="22"/>
        </w:rPr>
        <w:t>Motegi</w:t>
      </w:r>
      <w:proofErr w:type="spellEnd"/>
      <w:r w:rsidRPr="00533834">
        <w:rPr>
          <w:sz w:val="22"/>
          <w:szCs w:val="22"/>
        </w:rPr>
        <w:t xml:space="preserve">). Phosphorylation of these sites is necessary and sufficient to exclude these proteins from the membrane. </w:t>
      </w:r>
    </w:p>
    <w:p w14:paraId="37EA746C" w14:textId="3881152C" w:rsidR="00900FCA" w:rsidRPr="00533834" w:rsidRDefault="00900FCA" w:rsidP="001730C2">
      <w:pPr>
        <w:jc w:val="both"/>
        <w:rPr>
          <w:sz w:val="22"/>
          <w:szCs w:val="22"/>
        </w:rPr>
      </w:pPr>
    </w:p>
    <w:p w14:paraId="49E7194D" w14:textId="0A72685B" w:rsidR="00900FCA" w:rsidRPr="00533834" w:rsidRDefault="00900FCA" w:rsidP="0032742A">
      <w:pPr>
        <w:jc w:val="both"/>
        <w:rPr>
          <w:sz w:val="22"/>
          <w:szCs w:val="22"/>
        </w:rPr>
      </w:pPr>
      <w:r w:rsidRPr="00533834">
        <w:rPr>
          <w:sz w:val="22"/>
          <w:szCs w:val="22"/>
        </w:rPr>
        <w:t>PAR-2 is more complex, with seven predicted phosphorylation sites (Hao), although these have yet to be verified biochemically. Some of these are within the membrane association domain, and likely regulate membrane association in an analogous way to PAR-1 and LGL-1. Phosphorylation by PKC-3 has been shown to disrupt binding of PAR-2 to phospholipids in vitro, which is thought to represent reduced electrostatic attraction via the addition of negatively charged phosphate groups (</w:t>
      </w:r>
      <w:proofErr w:type="spellStart"/>
      <w:r w:rsidRPr="00533834">
        <w:rPr>
          <w:sz w:val="22"/>
          <w:szCs w:val="22"/>
        </w:rPr>
        <w:t>Motegi</w:t>
      </w:r>
      <w:proofErr w:type="spellEnd"/>
      <w:r w:rsidRPr="00533834">
        <w:rPr>
          <w:sz w:val="22"/>
          <w:szCs w:val="22"/>
        </w:rPr>
        <w:t>)</w:t>
      </w:r>
      <w:r w:rsidR="002F3527" w:rsidRPr="00533834">
        <w:rPr>
          <w:sz w:val="22"/>
          <w:szCs w:val="22"/>
        </w:rPr>
        <w:t xml:space="preserve">. </w:t>
      </w:r>
      <w:r w:rsidRPr="00533834">
        <w:rPr>
          <w:sz w:val="22"/>
          <w:szCs w:val="22"/>
        </w:rPr>
        <w:t>Some of the predicted phosp</w:t>
      </w:r>
      <w:r w:rsidR="002F3527" w:rsidRPr="00533834">
        <w:rPr>
          <w:sz w:val="22"/>
          <w:szCs w:val="22"/>
        </w:rPr>
        <w:t xml:space="preserve">horylation sites are outside </w:t>
      </w:r>
      <w:r w:rsidRPr="00533834">
        <w:rPr>
          <w:sz w:val="22"/>
          <w:szCs w:val="22"/>
        </w:rPr>
        <w:t xml:space="preserve">the membrane association region and may play regulatory or gatekeeping roles. </w:t>
      </w:r>
      <w:r w:rsidR="002F3527" w:rsidRPr="00533834">
        <w:rPr>
          <w:sz w:val="22"/>
          <w:szCs w:val="22"/>
        </w:rPr>
        <w:t xml:space="preserve">Mutation of all seven sites prevents phosphorylation in vivo, leading to uniform PAR-2 (Hao). Whilst individual mutant analysis hasn’t been performed on </w:t>
      </w:r>
      <w:proofErr w:type="gramStart"/>
      <w:r w:rsidR="002F3527" w:rsidRPr="00533834">
        <w:rPr>
          <w:sz w:val="22"/>
          <w:szCs w:val="22"/>
        </w:rPr>
        <w:t>all of</w:t>
      </w:r>
      <w:proofErr w:type="gramEnd"/>
      <w:r w:rsidR="002F3527" w:rsidRPr="00533834">
        <w:rPr>
          <w:sz w:val="22"/>
          <w:szCs w:val="22"/>
        </w:rPr>
        <w:t xml:space="preserve"> these sites independently, </w:t>
      </w:r>
      <w:proofErr w:type="spellStart"/>
      <w:r w:rsidR="002F3527" w:rsidRPr="00533834">
        <w:rPr>
          <w:sz w:val="22"/>
          <w:szCs w:val="22"/>
        </w:rPr>
        <w:t>Motegi</w:t>
      </w:r>
      <w:proofErr w:type="spellEnd"/>
      <w:r w:rsidR="002F3527" w:rsidRPr="00533834">
        <w:rPr>
          <w:sz w:val="22"/>
          <w:szCs w:val="22"/>
        </w:rPr>
        <w:t xml:space="preserve"> show that mutation of just one of these sites (S241A)</w:t>
      </w:r>
      <w:r w:rsidR="00572A0C" w:rsidRPr="00533834">
        <w:rPr>
          <w:sz w:val="22"/>
          <w:szCs w:val="22"/>
        </w:rPr>
        <w:t>, which falls outside of the main membrane localisation region (CHECK),</w:t>
      </w:r>
      <w:r w:rsidR="002F3527" w:rsidRPr="00533834">
        <w:rPr>
          <w:sz w:val="22"/>
          <w:szCs w:val="22"/>
        </w:rPr>
        <w:t xml:space="preserve"> </w:t>
      </w:r>
      <w:r w:rsidR="00572A0C" w:rsidRPr="00533834">
        <w:rPr>
          <w:sz w:val="22"/>
          <w:szCs w:val="22"/>
        </w:rPr>
        <w:t>significantly reduces phosphorylation</w:t>
      </w:r>
      <w:r w:rsidR="00284EAB" w:rsidRPr="00533834">
        <w:rPr>
          <w:sz w:val="22"/>
          <w:szCs w:val="22"/>
        </w:rPr>
        <w:t xml:space="preserve"> in vitro</w:t>
      </w:r>
      <w:r w:rsidR="002F3527" w:rsidRPr="00533834">
        <w:rPr>
          <w:sz w:val="22"/>
          <w:szCs w:val="22"/>
        </w:rPr>
        <w:t xml:space="preserve"> and achieve</w:t>
      </w:r>
      <w:r w:rsidR="00572A0C" w:rsidRPr="00533834">
        <w:rPr>
          <w:sz w:val="22"/>
          <w:szCs w:val="22"/>
        </w:rPr>
        <w:t>s</w:t>
      </w:r>
      <w:r w:rsidR="002F3527" w:rsidRPr="00533834">
        <w:rPr>
          <w:sz w:val="22"/>
          <w:szCs w:val="22"/>
        </w:rPr>
        <w:t xml:space="preserve"> the same phenotype</w:t>
      </w:r>
      <w:r w:rsidR="00572A0C" w:rsidRPr="00533834">
        <w:rPr>
          <w:sz w:val="22"/>
          <w:szCs w:val="22"/>
        </w:rPr>
        <w:t xml:space="preserve"> as the 7S/E mutant</w:t>
      </w:r>
      <w:r w:rsidR="00284EAB" w:rsidRPr="00533834">
        <w:rPr>
          <w:sz w:val="22"/>
          <w:szCs w:val="22"/>
        </w:rPr>
        <w:t xml:space="preserve"> in vivo</w:t>
      </w:r>
      <w:r w:rsidR="002F3527" w:rsidRPr="00533834">
        <w:rPr>
          <w:sz w:val="22"/>
          <w:szCs w:val="22"/>
        </w:rPr>
        <w:t xml:space="preserve">, indicating that this site may play a key role as a gatekeeper. </w:t>
      </w:r>
      <w:proofErr w:type="spellStart"/>
      <w:r w:rsidRPr="00533834">
        <w:rPr>
          <w:sz w:val="22"/>
          <w:szCs w:val="22"/>
        </w:rPr>
        <w:t>Phosphomimetic</w:t>
      </w:r>
      <w:proofErr w:type="spellEnd"/>
      <w:r w:rsidRPr="00533834">
        <w:rPr>
          <w:sz w:val="22"/>
          <w:szCs w:val="22"/>
        </w:rPr>
        <w:t xml:space="preserve"> mutation of all seven sites weakens, but doesn’t completely eliminate membrane association, indicating that there may </w:t>
      </w:r>
      <w:proofErr w:type="gramStart"/>
      <w:r w:rsidRPr="00533834">
        <w:rPr>
          <w:sz w:val="22"/>
          <w:szCs w:val="22"/>
        </w:rPr>
        <w:t>additional</w:t>
      </w:r>
      <w:proofErr w:type="gramEnd"/>
      <w:r w:rsidRPr="00533834">
        <w:rPr>
          <w:sz w:val="22"/>
          <w:szCs w:val="22"/>
        </w:rPr>
        <w:t xml:space="preserve"> sites on the protein, or that these mutations fail to completely mimic phosphorylation (what’s the charge of E compared to a phosphate?).</w:t>
      </w:r>
      <w:r w:rsidR="002F3527" w:rsidRPr="00533834">
        <w:rPr>
          <w:sz w:val="22"/>
          <w:szCs w:val="22"/>
        </w:rPr>
        <w:t xml:space="preserve"> </w:t>
      </w:r>
    </w:p>
    <w:p w14:paraId="7B778B4E" w14:textId="77777777" w:rsidR="00AF3B37" w:rsidRPr="00533834" w:rsidRDefault="00AF3B37" w:rsidP="001730C2">
      <w:pPr>
        <w:jc w:val="both"/>
        <w:rPr>
          <w:sz w:val="22"/>
          <w:szCs w:val="22"/>
        </w:rPr>
      </w:pPr>
    </w:p>
    <w:p w14:paraId="77725DD2" w14:textId="669CF9A4" w:rsidR="003D6488" w:rsidRPr="00533834" w:rsidRDefault="00AF3B37" w:rsidP="001730C2">
      <w:pPr>
        <w:jc w:val="both"/>
        <w:rPr>
          <w:sz w:val="22"/>
          <w:szCs w:val="22"/>
        </w:rPr>
      </w:pPr>
      <w:r w:rsidRPr="00533834">
        <w:rPr>
          <w:sz w:val="22"/>
          <w:szCs w:val="22"/>
        </w:rPr>
        <w:t>CHIN-1</w:t>
      </w:r>
      <w:r w:rsidR="003D6488" w:rsidRPr="00533834">
        <w:rPr>
          <w:sz w:val="22"/>
          <w:szCs w:val="22"/>
        </w:rPr>
        <w:t xml:space="preserve"> doesn’t have an </w:t>
      </w:r>
      <w:proofErr w:type="spellStart"/>
      <w:r w:rsidR="003D6488" w:rsidRPr="00533834">
        <w:rPr>
          <w:sz w:val="22"/>
          <w:szCs w:val="22"/>
        </w:rPr>
        <w:t>FxR</w:t>
      </w:r>
      <w:proofErr w:type="spellEnd"/>
      <w:r w:rsidR="003D6488" w:rsidRPr="00533834">
        <w:rPr>
          <w:sz w:val="22"/>
          <w:szCs w:val="22"/>
        </w:rPr>
        <w:t xml:space="preserve"> site (check</w:t>
      </w:r>
      <w:proofErr w:type="gramStart"/>
      <w:r w:rsidR="003D6488" w:rsidRPr="00533834">
        <w:rPr>
          <w:sz w:val="22"/>
          <w:szCs w:val="22"/>
        </w:rPr>
        <w:t>),</w:t>
      </w:r>
      <w:r w:rsidR="00FE7804">
        <w:rPr>
          <w:sz w:val="22"/>
          <w:szCs w:val="22"/>
        </w:rPr>
        <w:t xml:space="preserve"> </w:t>
      </w:r>
      <w:r w:rsidR="003D6488" w:rsidRPr="00533834">
        <w:rPr>
          <w:sz w:val="22"/>
          <w:szCs w:val="22"/>
        </w:rPr>
        <w:t>but</w:t>
      </w:r>
      <w:proofErr w:type="gramEnd"/>
      <w:r w:rsidRPr="00533834">
        <w:rPr>
          <w:sz w:val="22"/>
          <w:szCs w:val="22"/>
        </w:rPr>
        <w:t xml:space="preserve"> is</w:t>
      </w:r>
      <w:r w:rsidR="003D6488" w:rsidRPr="00533834">
        <w:rPr>
          <w:sz w:val="22"/>
          <w:szCs w:val="22"/>
        </w:rPr>
        <w:t xml:space="preserve"> also</w:t>
      </w:r>
      <w:r w:rsidRPr="00533834">
        <w:rPr>
          <w:sz w:val="22"/>
          <w:szCs w:val="22"/>
        </w:rPr>
        <w:t xml:space="preserve"> excluded from the anterior by PKC-3</w:t>
      </w:r>
      <w:r w:rsidR="003D6488" w:rsidRPr="00533834">
        <w:rPr>
          <w:sz w:val="22"/>
          <w:szCs w:val="22"/>
        </w:rPr>
        <w:t xml:space="preserve"> (</w:t>
      </w:r>
      <w:proofErr w:type="spellStart"/>
      <w:r w:rsidR="003D6488" w:rsidRPr="00533834">
        <w:rPr>
          <w:sz w:val="22"/>
          <w:szCs w:val="22"/>
        </w:rPr>
        <w:t>Sailer</w:t>
      </w:r>
      <w:proofErr w:type="spellEnd"/>
      <w:r w:rsidR="003D6488" w:rsidRPr="00533834">
        <w:rPr>
          <w:sz w:val="22"/>
          <w:szCs w:val="22"/>
        </w:rPr>
        <w:t>). This is thought to involve direct inhibition of CHIN-1</w:t>
      </w:r>
      <w:r w:rsidR="0032742A">
        <w:rPr>
          <w:sz w:val="22"/>
          <w:szCs w:val="22"/>
        </w:rPr>
        <w:t xml:space="preserve"> clustering</w:t>
      </w:r>
      <w:r w:rsidR="003D6488" w:rsidRPr="00533834">
        <w:rPr>
          <w:sz w:val="22"/>
          <w:szCs w:val="22"/>
        </w:rPr>
        <w:t xml:space="preserve"> at the cortex by PKC-3, however the mechanistic basis of this is</w:t>
      </w:r>
      <w:r w:rsidR="00FE7804">
        <w:rPr>
          <w:sz w:val="22"/>
          <w:szCs w:val="22"/>
        </w:rPr>
        <w:t xml:space="preserve"> poorly</w:t>
      </w:r>
      <w:r w:rsidR="003D6488" w:rsidRPr="00533834">
        <w:rPr>
          <w:sz w:val="22"/>
          <w:szCs w:val="22"/>
        </w:rPr>
        <w:t xml:space="preserve"> understood.</w:t>
      </w:r>
    </w:p>
    <w:p w14:paraId="4D75FC7E" w14:textId="1757D286" w:rsidR="00AF3B37" w:rsidRPr="00533834" w:rsidRDefault="00AF3B37" w:rsidP="001730C2">
      <w:pPr>
        <w:jc w:val="both"/>
        <w:rPr>
          <w:sz w:val="22"/>
          <w:szCs w:val="22"/>
        </w:rPr>
      </w:pPr>
    </w:p>
    <w:p w14:paraId="0829D710" w14:textId="482C4539" w:rsidR="00AF3B37" w:rsidRPr="00533834" w:rsidRDefault="00AF3B37" w:rsidP="001730C2">
      <w:pPr>
        <w:jc w:val="both"/>
        <w:rPr>
          <w:sz w:val="22"/>
          <w:szCs w:val="22"/>
        </w:rPr>
      </w:pPr>
    </w:p>
    <w:p w14:paraId="65686F53" w14:textId="2E1054AB" w:rsidR="00AF3B37" w:rsidRPr="00533834" w:rsidRDefault="00FE7804" w:rsidP="001730C2">
      <w:pPr>
        <w:jc w:val="both"/>
        <w:rPr>
          <w:b/>
          <w:bCs/>
          <w:sz w:val="22"/>
          <w:szCs w:val="22"/>
        </w:rPr>
      </w:pPr>
      <w:r>
        <w:rPr>
          <w:b/>
          <w:bCs/>
          <w:sz w:val="22"/>
          <w:szCs w:val="22"/>
        </w:rPr>
        <w:t>PAR-1 pathway</w:t>
      </w:r>
    </w:p>
    <w:p w14:paraId="6DE9A75E" w14:textId="49D00F65" w:rsidR="00AF3B37" w:rsidRPr="00533834" w:rsidRDefault="00AF3B37" w:rsidP="001730C2">
      <w:pPr>
        <w:jc w:val="both"/>
        <w:rPr>
          <w:sz w:val="22"/>
          <w:szCs w:val="22"/>
        </w:rPr>
      </w:pPr>
    </w:p>
    <w:p w14:paraId="71795AA9" w14:textId="62A463DD" w:rsidR="005F6BC8" w:rsidRPr="00533834" w:rsidRDefault="000605CF" w:rsidP="001730C2">
      <w:pPr>
        <w:jc w:val="both"/>
        <w:rPr>
          <w:sz w:val="22"/>
          <w:szCs w:val="22"/>
        </w:rPr>
      </w:pPr>
      <w:r w:rsidRPr="00533834">
        <w:rPr>
          <w:sz w:val="22"/>
          <w:szCs w:val="22"/>
        </w:rPr>
        <w:t>PAR-1 can phosphorylate PAR-3</w:t>
      </w:r>
      <w:r w:rsidR="009D47B2" w:rsidRPr="00533834">
        <w:rPr>
          <w:sz w:val="22"/>
          <w:szCs w:val="22"/>
        </w:rPr>
        <w:t>, which it does primarily at a single serine (S950) towards the C-terminus of the protein</w:t>
      </w:r>
      <w:r w:rsidRPr="00533834">
        <w:rPr>
          <w:sz w:val="22"/>
          <w:szCs w:val="22"/>
        </w:rPr>
        <w:t xml:space="preserve"> (</w:t>
      </w:r>
      <w:proofErr w:type="spellStart"/>
      <w:r w:rsidRPr="00533834">
        <w:rPr>
          <w:sz w:val="22"/>
          <w:szCs w:val="22"/>
        </w:rPr>
        <w:t>Motegi</w:t>
      </w:r>
      <w:proofErr w:type="spellEnd"/>
      <w:r w:rsidRPr="00533834">
        <w:rPr>
          <w:sz w:val="22"/>
          <w:szCs w:val="22"/>
        </w:rPr>
        <w:t>)</w:t>
      </w:r>
      <w:r w:rsidR="009D47B2" w:rsidRPr="00533834">
        <w:rPr>
          <w:sz w:val="22"/>
          <w:szCs w:val="22"/>
        </w:rPr>
        <w:t xml:space="preserve">. </w:t>
      </w:r>
      <w:r w:rsidR="005F6BC8" w:rsidRPr="00533834">
        <w:rPr>
          <w:sz w:val="22"/>
          <w:szCs w:val="22"/>
        </w:rPr>
        <w:t>In a wild</w:t>
      </w:r>
      <w:r w:rsidR="009D47B2" w:rsidRPr="00533834">
        <w:rPr>
          <w:sz w:val="22"/>
          <w:szCs w:val="22"/>
        </w:rPr>
        <w:t>-</w:t>
      </w:r>
      <w:r w:rsidR="005F6BC8" w:rsidRPr="00533834">
        <w:rPr>
          <w:sz w:val="22"/>
          <w:szCs w:val="22"/>
        </w:rPr>
        <w:t>type background, depletion of PAR-1</w:t>
      </w:r>
      <w:r w:rsidR="009D47B2" w:rsidRPr="00533834">
        <w:rPr>
          <w:sz w:val="22"/>
          <w:szCs w:val="22"/>
        </w:rPr>
        <w:t xml:space="preserve">, or mutation of the </w:t>
      </w:r>
      <w:proofErr w:type="spellStart"/>
      <w:r w:rsidR="009D47B2" w:rsidRPr="00533834">
        <w:rPr>
          <w:sz w:val="22"/>
          <w:szCs w:val="22"/>
        </w:rPr>
        <w:t>phosphosite</w:t>
      </w:r>
      <w:proofErr w:type="spellEnd"/>
      <w:r w:rsidR="009D47B2" w:rsidRPr="00533834">
        <w:rPr>
          <w:sz w:val="22"/>
          <w:szCs w:val="22"/>
        </w:rPr>
        <w:t xml:space="preserve"> on PAR-3,</w:t>
      </w:r>
      <w:r w:rsidR="005F6BC8" w:rsidRPr="00533834">
        <w:rPr>
          <w:sz w:val="22"/>
          <w:szCs w:val="22"/>
        </w:rPr>
        <w:t xml:space="preserve"> causes PAR-3 to associate with the posterior cortex, although this association is weak (</w:t>
      </w:r>
      <w:proofErr w:type="spellStart"/>
      <w:r w:rsidR="005F6BC8" w:rsidRPr="00533834">
        <w:rPr>
          <w:sz w:val="22"/>
          <w:szCs w:val="22"/>
        </w:rPr>
        <w:t>Sailer</w:t>
      </w:r>
      <w:proofErr w:type="spellEnd"/>
      <w:r w:rsidR="005F6BC8" w:rsidRPr="00533834">
        <w:rPr>
          <w:sz w:val="22"/>
          <w:szCs w:val="22"/>
        </w:rPr>
        <w:t xml:space="preserve">). It is unclear why a degree of asymmetry is maintained in these conditions, although this may be a remnant of earlier transport by cortical flows and relatively stable cortical association which prevents lateral diffusion and cortical-cytoplasmic exchange that would redistribute the protein. If cortical flows are inhibited, PAR-1 mutation </w:t>
      </w:r>
      <w:r w:rsidR="009D47B2" w:rsidRPr="00533834">
        <w:rPr>
          <w:sz w:val="22"/>
          <w:szCs w:val="22"/>
        </w:rPr>
        <w:t xml:space="preserve">prevents </w:t>
      </w:r>
      <w:proofErr w:type="spellStart"/>
      <w:r w:rsidR="009D47B2" w:rsidRPr="00533834">
        <w:rPr>
          <w:sz w:val="22"/>
          <w:szCs w:val="22"/>
        </w:rPr>
        <w:t>aPARs</w:t>
      </w:r>
      <w:proofErr w:type="spellEnd"/>
      <w:r w:rsidR="009D47B2" w:rsidRPr="00533834">
        <w:rPr>
          <w:sz w:val="22"/>
          <w:szCs w:val="22"/>
        </w:rPr>
        <w:t xml:space="preserve"> from polarising at all (</w:t>
      </w:r>
      <w:proofErr w:type="spellStart"/>
      <w:r w:rsidR="009D47B2" w:rsidRPr="00533834">
        <w:rPr>
          <w:sz w:val="22"/>
          <w:szCs w:val="22"/>
        </w:rPr>
        <w:t>Motegi</w:t>
      </w:r>
      <w:proofErr w:type="spellEnd"/>
      <w:r w:rsidR="009D47B2" w:rsidRPr="00533834">
        <w:rPr>
          <w:sz w:val="22"/>
          <w:szCs w:val="22"/>
        </w:rPr>
        <w:t>).</w:t>
      </w:r>
    </w:p>
    <w:p w14:paraId="17563937" w14:textId="438CE349" w:rsidR="000605CF" w:rsidRDefault="000605CF" w:rsidP="001730C2">
      <w:pPr>
        <w:jc w:val="both"/>
        <w:rPr>
          <w:sz w:val="22"/>
          <w:szCs w:val="22"/>
        </w:rPr>
      </w:pPr>
    </w:p>
    <w:p w14:paraId="0EF84615" w14:textId="01EEB96C" w:rsidR="00FE7804" w:rsidRPr="00FE7804" w:rsidRDefault="00FE7804" w:rsidP="001730C2">
      <w:pPr>
        <w:jc w:val="both"/>
        <w:rPr>
          <w:b/>
          <w:bCs/>
          <w:sz w:val="22"/>
          <w:szCs w:val="22"/>
        </w:rPr>
      </w:pPr>
      <w:r w:rsidRPr="00FE7804">
        <w:rPr>
          <w:b/>
          <w:bCs/>
          <w:sz w:val="22"/>
          <w:szCs w:val="22"/>
        </w:rPr>
        <w:t>LGL-1 pathway</w:t>
      </w:r>
    </w:p>
    <w:p w14:paraId="11F8D939" w14:textId="77777777" w:rsidR="00FE7804" w:rsidRPr="00533834" w:rsidRDefault="00FE7804" w:rsidP="001730C2">
      <w:pPr>
        <w:jc w:val="both"/>
        <w:rPr>
          <w:sz w:val="22"/>
          <w:szCs w:val="22"/>
        </w:rPr>
      </w:pPr>
    </w:p>
    <w:p w14:paraId="1E7107AA" w14:textId="32EF3243" w:rsidR="00FE2771" w:rsidRPr="00533834" w:rsidRDefault="00471B42" w:rsidP="001730C2">
      <w:pPr>
        <w:jc w:val="both"/>
        <w:rPr>
          <w:sz w:val="22"/>
          <w:szCs w:val="22"/>
        </w:rPr>
      </w:pPr>
      <w:r w:rsidRPr="00533834">
        <w:rPr>
          <w:sz w:val="22"/>
          <w:szCs w:val="22"/>
        </w:rPr>
        <w:t>LGL</w:t>
      </w:r>
      <w:r w:rsidR="00EA202F" w:rsidRPr="00533834">
        <w:rPr>
          <w:sz w:val="22"/>
          <w:szCs w:val="22"/>
        </w:rPr>
        <w:t>-1</w:t>
      </w:r>
      <w:r w:rsidRPr="00533834">
        <w:rPr>
          <w:sz w:val="22"/>
          <w:szCs w:val="22"/>
        </w:rPr>
        <w:t xml:space="preserve"> has been proposed to antagonise </w:t>
      </w:r>
      <w:proofErr w:type="spellStart"/>
      <w:r w:rsidRPr="00533834">
        <w:rPr>
          <w:sz w:val="22"/>
          <w:szCs w:val="22"/>
        </w:rPr>
        <w:t>aPARs</w:t>
      </w:r>
      <w:proofErr w:type="spellEnd"/>
      <w:r w:rsidRPr="00533834">
        <w:rPr>
          <w:sz w:val="22"/>
          <w:szCs w:val="22"/>
        </w:rPr>
        <w:t xml:space="preserve"> by forming a complex with PAR-6/PKC-3, the whole of which dissociates from the cortex after LGL-1 is phosphorylated by PKC-3 (</w:t>
      </w:r>
      <w:proofErr w:type="spellStart"/>
      <w:r w:rsidRPr="00533834">
        <w:rPr>
          <w:sz w:val="22"/>
          <w:szCs w:val="22"/>
        </w:rPr>
        <w:t>Hoege</w:t>
      </w:r>
      <w:proofErr w:type="spellEnd"/>
      <w:r w:rsidRPr="00533834">
        <w:rPr>
          <w:sz w:val="22"/>
          <w:szCs w:val="22"/>
        </w:rPr>
        <w:t xml:space="preserve"> 2010). </w:t>
      </w:r>
      <w:r w:rsidR="00317411" w:rsidRPr="00533834">
        <w:rPr>
          <w:sz w:val="22"/>
          <w:szCs w:val="22"/>
        </w:rPr>
        <w:t>LGL-1 loss has no observable effects in zygotes in otherwise wild type systems,</w:t>
      </w:r>
      <w:r w:rsidRPr="00533834">
        <w:rPr>
          <w:sz w:val="22"/>
          <w:szCs w:val="22"/>
        </w:rPr>
        <w:t xml:space="preserve"> indicating that this is usually of minor </w:t>
      </w:r>
      <w:r w:rsidRPr="00533834">
        <w:rPr>
          <w:sz w:val="22"/>
          <w:szCs w:val="22"/>
        </w:rPr>
        <w:lastRenderedPageBreak/>
        <w:t xml:space="preserve">importance, </w:t>
      </w:r>
      <w:r w:rsidR="00317411" w:rsidRPr="00533834">
        <w:rPr>
          <w:sz w:val="22"/>
          <w:szCs w:val="22"/>
        </w:rPr>
        <w:t xml:space="preserve">but can enhance phenotypes in PAR-2 mutants (Beatty, 2010). Furthermore, LGL overexpression </w:t>
      </w:r>
      <w:proofErr w:type="gramStart"/>
      <w:r w:rsidR="00317411" w:rsidRPr="00533834">
        <w:rPr>
          <w:sz w:val="22"/>
          <w:szCs w:val="22"/>
        </w:rPr>
        <w:t>is able to</w:t>
      </w:r>
      <w:proofErr w:type="gramEnd"/>
      <w:r w:rsidR="00317411" w:rsidRPr="00533834">
        <w:rPr>
          <w:sz w:val="22"/>
          <w:szCs w:val="22"/>
        </w:rPr>
        <w:t xml:space="preserve"> compensate for absence of PAR-2 (</w:t>
      </w:r>
      <w:proofErr w:type="spellStart"/>
      <w:r w:rsidR="00317411" w:rsidRPr="00533834">
        <w:rPr>
          <w:sz w:val="22"/>
          <w:szCs w:val="22"/>
        </w:rPr>
        <w:t>Hoege</w:t>
      </w:r>
      <w:proofErr w:type="spellEnd"/>
      <w:r w:rsidR="00317411" w:rsidRPr="00533834">
        <w:rPr>
          <w:sz w:val="22"/>
          <w:szCs w:val="22"/>
        </w:rPr>
        <w:t>), indicating that this pathway can be sufficient to take over the roles of the PAR-2/PAR-1 pathway.</w:t>
      </w:r>
    </w:p>
    <w:p w14:paraId="1C2BE37C" w14:textId="3E4C0F3E" w:rsidR="00AF3B37" w:rsidRDefault="00AF3B37" w:rsidP="001730C2">
      <w:pPr>
        <w:jc w:val="both"/>
        <w:rPr>
          <w:sz w:val="22"/>
          <w:szCs w:val="22"/>
        </w:rPr>
      </w:pPr>
    </w:p>
    <w:p w14:paraId="06F1A169" w14:textId="5F73760B" w:rsidR="00FE7804" w:rsidRPr="00FE7804" w:rsidRDefault="00FE7804" w:rsidP="001730C2">
      <w:pPr>
        <w:jc w:val="both"/>
        <w:rPr>
          <w:b/>
          <w:bCs/>
          <w:sz w:val="22"/>
          <w:szCs w:val="22"/>
        </w:rPr>
      </w:pPr>
      <w:r w:rsidRPr="00FE7804">
        <w:rPr>
          <w:b/>
          <w:bCs/>
          <w:sz w:val="22"/>
          <w:szCs w:val="22"/>
        </w:rPr>
        <w:t>CHIN-1 pathway</w:t>
      </w:r>
    </w:p>
    <w:p w14:paraId="21F4F38B" w14:textId="77777777" w:rsidR="00FE7804" w:rsidRPr="00533834" w:rsidRDefault="00FE7804" w:rsidP="001730C2">
      <w:pPr>
        <w:jc w:val="both"/>
        <w:rPr>
          <w:sz w:val="22"/>
          <w:szCs w:val="22"/>
        </w:rPr>
      </w:pPr>
    </w:p>
    <w:p w14:paraId="53DB3B93" w14:textId="19CADE82" w:rsidR="00B570E9" w:rsidRPr="00533834" w:rsidRDefault="00EA202F" w:rsidP="001730C2">
      <w:pPr>
        <w:jc w:val="both"/>
        <w:rPr>
          <w:sz w:val="22"/>
          <w:szCs w:val="22"/>
        </w:rPr>
      </w:pPr>
      <w:r w:rsidRPr="00533834">
        <w:rPr>
          <w:sz w:val="22"/>
          <w:szCs w:val="22"/>
        </w:rPr>
        <w:t>CHIN-1, a GAP for CDC-42 appears on the posterior cortex late in the cell cycle</w:t>
      </w:r>
      <w:r w:rsidR="00B570E9" w:rsidRPr="00533834">
        <w:rPr>
          <w:sz w:val="22"/>
          <w:szCs w:val="22"/>
        </w:rPr>
        <w:t xml:space="preserve"> </w:t>
      </w:r>
      <w:r w:rsidRPr="00533834">
        <w:rPr>
          <w:sz w:val="22"/>
          <w:szCs w:val="22"/>
        </w:rPr>
        <w:t xml:space="preserve">and restricts CDC-42 activity to the </w:t>
      </w:r>
      <w:r w:rsidR="00A71F89" w:rsidRPr="00533834">
        <w:rPr>
          <w:sz w:val="22"/>
          <w:szCs w:val="22"/>
        </w:rPr>
        <w:t>anterior (</w:t>
      </w:r>
      <w:proofErr w:type="spellStart"/>
      <w:r w:rsidR="00A71F89" w:rsidRPr="00533834">
        <w:rPr>
          <w:sz w:val="22"/>
          <w:szCs w:val="22"/>
        </w:rPr>
        <w:t>Kumfer</w:t>
      </w:r>
      <w:proofErr w:type="spellEnd"/>
      <w:r w:rsidR="00A71F89" w:rsidRPr="00533834">
        <w:rPr>
          <w:sz w:val="22"/>
          <w:szCs w:val="22"/>
        </w:rPr>
        <w:t xml:space="preserve">, Beatty 2013, </w:t>
      </w:r>
      <w:proofErr w:type="spellStart"/>
      <w:r w:rsidR="00A71F89" w:rsidRPr="00533834">
        <w:rPr>
          <w:sz w:val="22"/>
          <w:szCs w:val="22"/>
        </w:rPr>
        <w:t>Sailer</w:t>
      </w:r>
      <w:proofErr w:type="spellEnd"/>
      <w:r w:rsidR="00A71F89" w:rsidRPr="00533834">
        <w:rPr>
          <w:sz w:val="22"/>
          <w:szCs w:val="22"/>
        </w:rPr>
        <w:t xml:space="preserve">). </w:t>
      </w:r>
      <w:r w:rsidR="00B570E9" w:rsidRPr="00533834">
        <w:rPr>
          <w:sz w:val="22"/>
          <w:szCs w:val="22"/>
        </w:rPr>
        <w:t xml:space="preserve">CHIN-1 loss results in uniform CDC-42 activity, but </w:t>
      </w:r>
      <w:r w:rsidR="00B905C9" w:rsidRPr="00533834">
        <w:rPr>
          <w:sz w:val="22"/>
          <w:szCs w:val="22"/>
        </w:rPr>
        <w:t>this doesn’t lead to uniform PAR-6/PKC-3 localisation (</w:t>
      </w:r>
      <w:proofErr w:type="spellStart"/>
      <w:r w:rsidR="00B905C9" w:rsidRPr="00533834">
        <w:rPr>
          <w:sz w:val="22"/>
          <w:szCs w:val="22"/>
        </w:rPr>
        <w:t>Sailer</w:t>
      </w:r>
      <w:proofErr w:type="spellEnd"/>
      <w:r w:rsidR="00B905C9" w:rsidRPr="00533834">
        <w:rPr>
          <w:sz w:val="22"/>
          <w:szCs w:val="22"/>
        </w:rPr>
        <w:t>, others), indicating that active CDC-42 isn’t sufficient to recruit PAR-6/PKC-3. When combined with a PAR-1 mutant, however, which leads to a small amount of PAR-3 binding in the posterior, PAR-6/PKC-3 is not recruited to a high level in the posterior. This implies that PAR-3 gates association with CDC-42. Par-3 asymmetry is required to restrict this gating to the anterior, and CDC-42 asymmetry is required to restrict the binding partner of PAR-6/PKC-3 to the anterior, although either one of these behaviours is sufficient.</w:t>
      </w:r>
    </w:p>
    <w:p w14:paraId="46B176E3" w14:textId="1B678F09" w:rsidR="00AF3B37" w:rsidRPr="00533834" w:rsidRDefault="00AF3B37" w:rsidP="001730C2">
      <w:pPr>
        <w:jc w:val="both"/>
        <w:rPr>
          <w:sz w:val="22"/>
          <w:szCs w:val="22"/>
        </w:rPr>
      </w:pPr>
    </w:p>
    <w:p w14:paraId="20485923" w14:textId="77777777" w:rsidR="00FE2771" w:rsidRPr="00533834" w:rsidRDefault="00FE2771" w:rsidP="001730C2">
      <w:pPr>
        <w:jc w:val="both"/>
        <w:rPr>
          <w:sz w:val="22"/>
          <w:szCs w:val="22"/>
        </w:rPr>
      </w:pPr>
    </w:p>
    <w:p w14:paraId="722EF711" w14:textId="509A985E" w:rsidR="00AF3B37" w:rsidRPr="00533834" w:rsidRDefault="00FE7804" w:rsidP="001730C2">
      <w:pPr>
        <w:jc w:val="both"/>
        <w:rPr>
          <w:b/>
          <w:bCs/>
          <w:sz w:val="22"/>
          <w:szCs w:val="22"/>
        </w:rPr>
      </w:pPr>
      <w:r>
        <w:rPr>
          <w:b/>
          <w:bCs/>
          <w:sz w:val="22"/>
          <w:szCs w:val="22"/>
        </w:rPr>
        <w:t>Cytoskeleton regulation</w:t>
      </w:r>
    </w:p>
    <w:p w14:paraId="41BB980E" w14:textId="11102B59" w:rsidR="00AF3B37" w:rsidRDefault="00AF3B37" w:rsidP="001730C2">
      <w:pPr>
        <w:jc w:val="both"/>
        <w:rPr>
          <w:sz w:val="22"/>
          <w:szCs w:val="22"/>
        </w:rPr>
      </w:pPr>
    </w:p>
    <w:p w14:paraId="21BBE81B" w14:textId="6A6E18BF" w:rsidR="001B65B9" w:rsidRPr="0032742A" w:rsidRDefault="0032742A" w:rsidP="0032742A">
      <w:pPr>
        <w:jc w:val="both"/>
        <w:rPr>
          <w:sz w:val="22"/>
          <w:szCs w:val="22"/>
        </w:rPr>
      </w:pPr>
      <w:r>
        <w:rPr>
          <w:sz w:val="22"/>
          <w:szCs w:val="22"/>
        </w:rPr>
        <w:t xml:space="preserve">Continued regulation of cortical flow may also play a role in preventing the breakdown of polarity during maintenance phase. </w:t>
      </w:r>
      <w:r w:rsidR="00AF3B37" w:rsidRPr="00533834">
        <w:rPr>
          <w:rFonts w:cstheme="minorHAnsi"/>
          <w:sz w:val="22"/>
          <w:szCs w:val="22"/>
        </w:rPr>
        <w:t xml:space="preserve">PAR-2 plays a role in preventing rearwards cortical flows at maintenance phase. In par-2 mutants, whilst anterior-directed cortical flow proceeds as normal during polarity establishment, these are followed by posterior-directed cortical flows at maintenance phase which leads to significant spread of </w:t>
      </w:r>
      <w:proofErr w:type="spellStart"/>
      <w:r w:rsidR="00AF3B37" w:rsidRPr="00533834">
        <w:rPr>
          <w:rFonts w:cstheme="minorHAnsi"/>
          <w:sz w:val="22"/>
          <w:szCs w:val="22"/>
        </w:rPr>
        <w:t>aPARs</w:t>
      </w:r>
      <w:proofErr w:type="spellEnd"/>
      <w:r w:rsidR="00AF3B37" w:rsidRPr="00533834">
        <w:rPr>
          <w:rFonts w:cstheme="minorHAnsi"/>
          <w:sz w:val="22"/>
          <w:szCs w:val="22"/>
        </w:rPr>
        <w:t xml:space="preserve"> (ref). This backwards flow can be prevented by mutation of MRCK</w:t>
      </w:r>
      <w:r w:rsidR="00317411" w:rsidRPr="00533834">
        <w:rPr>
          <w:rFonts w:cstheme="minorHAnsi"/>
          <w:sz w:val="22"/>
          <w:szCs w:val="22"/>
        </w:rPr>
        <w:t>-1</w:t>
      </w:r>
      <w:r w:rsidR="00AF3B37" w:rsidRPr="00533834">
        <w:rPr>
          <w:rFonts w:cstheme="minorHAnsi"/>
          <w:sz w:val="22"/>
          <w:szCs w:val="22"/>
        </w:rPr>
        <w:t xml:space="preserve">, &lt;details on this protein&gt;. The precise mechanistic reasons for this </w:t>
      </w:r>
      <w:proofErr w:type="spellStart"/>
      <w:r w:rsidR="00AF3B37" w:rsidRPr="00533834">
        <w:rPr>
          <w:rFonts w:cstheme="minorHAnsi"/>
          <w:sz w:val="22"/>
          <w:szCs w:val="22"/>
        </w:rPr>
        <w:t>misregulation</w:t>
      </w:r>
      <w:proofErr w:type="spellEnd"/>
      <w:r w:rsidR="00AF3B37" w:rsidRPr="00533834">
        <w:rPr>
          <w:rFonts w:cstheme="minorHAnsi"/>
          <w:sz w:val="22"/>
          <w:szCs w:val="22"/>
        </w:rPr>
        <w:t xml:space="preserve"> in PAR-2 mutants is unclear.</w:t>
      </w:r>
      <w:r w:rsidR="001B65B9" w:rsidRPr="00533834">
        <w:rPr>
          <w:rFonts w:cstheme="minorHAnsi"/>
          <w:sz w:val="22"/>
          <w:szCs w:val="22"/>
        </w:rPr>
        <w:t xml:space="preserve"> PAR-2 loss leads to higher cortical myosin accumulation independently of PAR-6/PKC-3 presence (Munro, Beatty 2013), suggesting that this isn’t an indirect effect via PKC-3 signalling.</w:t>
      </w:r>
    </w:p>
    <w:p w14:paraId="6EDDE55C" w14:textId="3BA85C37" w:rsidR="00FE2771" w:rsidRPr="00533834" w:rsidRDefault="00FE2771" w:rsidP="001730C2">
      <w:pPr>
        <w:jc w:val="both"/>
        <w:rPr>
          <w:sz w:val="22"/>
          <w:szCs w:val="22"/>
        </w:rPr>
      </w:pPr>
    </w:p>
    <w:p w14:paraId="44E6773B" w14:textId="60109ED7" w:rsidR="00FE2771" w:rsidRDefault="00FE2771" w:rsidP="001730C2">
      <w:pPr>
        <w:jc w:val="both"/>
        <w:rPr>
          <w:sz w:val="22"/>
          <w:szCs w:val="22"/>
        </w:rPr>
      </w:pPr>
      <w:r w:rsidRPr="00533834">
        <w:rPr>
          <w:sz w:val="22"/>
          <w:szCs w:val="22"/>
        </w:rPr>
        <w:t xml:space="preserve">LGL-1 can also regulate flows in a similar way. Dual loss of PAR-2 and LGL leads to stronger rearwards flow (Beatty 2010), and overexpression of LGL-1 </w:t>
      </w:r>
      <w:proofErr w:type="gramStart"/>
      <w:r w:rsidRPr="00533834">
        <w:rPr>
          <w:sz w:val="22"/>
          <w:szCs w:val="22"/>
        </w:rPr>
        <w:t>is able to</w:t>
      </w:r>
      <w:proofErr w:type="gramEnd"/>
      <w:r w:rsidRPr="00533834">
        <w:rPr>
          <w:sz w:val="22"/>
          <w:szCs w:val="22"/>
        </w:rPr>
        <w:t xml:space="preserve"> rescue rearwards flow in PAR-2 mutants (</w:t>
      </w:r>
      <w:proofErr w:type="spellStart"/>
      <w:r w:rsidRPr="00533834">
        <w:rPr>
          <w:sz w:val="22"/>
          <w:szCs w:val="22"/>
        </w:rPr>
        <w:t>Hoege</w:t>
      </w:r>
      <w:proofErr w:type="spellEnd"/>
      <w:r w:rsidRPr="00533834">
        <w:rPr>
          <w:sz w:val="22"/>
          <w:szCs w:val="22"/>
        </w:rPr>
        <w:t>). However, unlike PAR-2, LGL-1 has no effect on myosin accumulation in the absence of PAR-6, suggesting that this LG</w:t>
      </w:r>
      <w:r w:rsidR="001B65B9" w:rsidRPr="00533834">
        <w:rPr>
          <w:sz w:val="22"/>
          <w:szCs w:val="22"/>
        </w:rPr>
        <w:t>L</w:t>
      </w:r>
      <w:r w:rsidRPr="00533834">
        <w:rPr>
          <w:sz w:val="22"/>
          <w:szCs w:val="22"/>
        </w:rPr>
        <w:t xml:space="preserve">-1 dependent effect </w:t>
      </w:r>
      <w:r w:rsidR="001B65B9" w:rsidRPr="00533834">
        <w:rPr>
          <w:sz w:val="22"/>
          <w:szCs w:val="22"/>
        </w:rPr>
        <w:t xml:space="preserve">may be indirect via </w:t>
      </w:r>
      <w:proofErr w:type="spellStart"/>
      <w:r w:rsidR="001B65B9" w:rsidRPr="00533834">
        <w:rPr>
          <w:sz w:val="22"/>
          <w:szCs w:val="22"/>
        </w:rPr>
        <w:t>aPARs</w:t>
      </w:r>
      <w:proofErr w:type="spellEnd"/>
      <w:r w:rsidR="001B65B9" w:rsidRPr="00533834">
        <w:rPr>
          <w:sz w:val="22"/>
          <w:szCs w:val="22"/>
        </w:rPr>
        <w:t xml:space="preserve"> and the known roles of PKC-3 in cytoskeleton control</w:t>
      </w:r>
      <w:r w:rsidR="00317411" w:rsidRPr="00533834">
        <w:rPr>
          <w:sz w:val="22"/>
          <w:szCs w:val="22"/>
        </w:rPr>
        <w:t xml:space="preserve"> (</w:t>
      </w:r>
      <w:proofErr w:type="gramStart"/>
      <w:r w:rsidR="00317411" w:rsidRPr="00533834">
        <w:rPr>
          <w:sz w:val="22"/>
          <w:szCs w:val="22"/>
        </w:rPr>
        <w:t>i.e.</w:t>
      </w:r>
      <w:proofErr w:type="gramEnd"/>
      <w:r w:rsidR="00317411" w:rsidRPr="00533834">
        <w:rPr>
          <w:sz w:val="22"/>
          <w:szCs w:val="22"/>
        </w:rPr>
        <w:t xml:space="preserve"> LGL-1 loss weakens antagonism, leading to aPAR invasion, which redistributes flows).</w:t>
      </w:r>
    </w:p>
    <w:p w14:paraId="78AA8F18" w14:textId="424088A0" w:rsidR="00CC1CDB" w:rsidRDefault="00CC1CDB" w:rsidP="001730C2">
      <w:pPr>
        <w:jc w:val="both"/>
        <w:rPr>
          <w:sz w:val="22"/>
          <w:szCs w:val="22"/>
        </w:rPr>
      </w:pPr>
    </w:p>
    <w:p w14:paraId="40C6342C" w14:textId="0ECC51DB" w:rsidR="00CC1CDB" w:rsidRDefault="00CC1CDB" w:rsidP="001730C2">
      <w:pPr>
        <w:jc w:val="both"/>
        <w:rPr>
          <w:sz w:val="22"/>
          <w:szCs w:val="22"/>
        </w:rPr>
      </w:pPr>
    </w:p>
    <w:p w14:paraId="4F6CF82E" w14:textId="2279CA57" w:rsidR="00CC1CDB" w:rsidRDefault="00CC1CDB" w:rsidP="001730C2">
      <w:pPr>
        <w:jc w:val="both"/>
        <w:rPr>
          <w:sz w:val="22"/>
          <w:szCs w:val="22"/>
        </w:rPr>
      </w:pPr>
    </w:p>
    <w:p w14:paraId="355425FA" w14:textId="7841AE66" w:rsidR="00CC1CDB" w:rsidRDefault="00CC1CDB" w:rsidP="001730C2">
      <w:pPr>
        <w:jc w:val="both"/>
        <w:rPr>
          <w:sz w:val="22"/>
          <w:szCs w:val="22"/>
        </w:rPr>
      </w:pPr>
    </w:p>
    <w:p w14:paraId="0ACC834F" w14:textId="2811466D" w:rsidR="00CC1CDB" w:rsidRDefault="00CC1CDB" w:rsidP="001730C2">
      <w:pPr>
        <w:jc w:val="both"/>
        <w:rPr>
          <w:sz w:val="22"/>
          <w:szCs w:val="22"/>
        </w:rPr>
      </w:pPr>
      <w:r>
        <w:rPr>
          <w:sz w:val="22"/>
          <w:szCs w:val="22"/>
        </w:rPr>
        <w:t>Structure 1:</w:t>
      </w:r>
    </w:p>
    <w:p w14:paraId="497367A9" w14:textId="0A2A47BE" w:rsidR="00CC1CDB" w:rsidRDefault="00CC1CDB" w:rsidP="00CC1CDB">
      <w:pPr>
        <w:pStyle w:val="ListParagraph"/>
        <w:numPr>
          <w:ilvl w:val="0"/>
          <w:numId w:val="1"/>
        </w:numPr>
        <w:jc w:val="both"/>
        <w:rPr>
          <w:sz w:val="22"/>
          <w:szCs w:val="22"/>
        </w:rPr>
      </w:pPr>
      <w:r w:rsidRPr="00CC1CDB">
        <w:rPr>
          <w:sz w:val="22"/>
          <w:szCs w:val="22"/>
        </w:rPr>
        <w:t>aPAR to pPAR antagonism</w:t>
      </w:r>
    </w:p>
    <w:p w14:paraId="130EEFB6" w14:textId="4736D99C" w:rsidR="00CC1CDB" w:rsidRDefault="00CC1CDB" w:rsidP="00CC1CDB">
      <w:pPr>
        <w:pStyle w:val="ListParagraph"/>
        <w:numPr>
          <w:ilvl w:val="0"/>
          <w:numId w:val="1"/>
        </w:numPr>
        <w:jc w:val="both"/>
        <w:rPr>
          <w:sz w:val="22"/>
          <w:szCs w:val="22"/>
        </w:rPr>
      </w:pPr>
      <w:r>
        <w:rPr>
          <w:sz w:val="22"/>
          <w:szCs w:val="22"/>
        </w:rPr>
        <w:t>pPAR to aPAR antagonism</w:t>
      </w:r>
    </w:p>
    <w:p w14:paraId="1E471A01" w14:textId="7383FFC8" w:rsidR="00CC1CDB" w:rsidRDefault="00CC1CDB" w:rsidP="00CC1CDB">
      <w:pPr>
        <w:pStyle w:val="ListParagraph"/>
        <w:numPr>
          <w:ilvl w:val="0"/>
          <w:numId w:val="1"/>
        </w:numPr>
        <w:jc w:val="both"/>
        <w:rPr>
          <w:sz w:val="22"/>
          <w:szCs w:val="22"/>
        </w:rPr>
      </w:pPr>
      <w:r>
        <w:rPr>
          <w:sz w:val="22"/>
          <w:szCs w:val="22"/>
        </w:rPr>
        <w:t>Cytoskeleton regulation</w:t>
      </w:r>
    </w:p>
    <w:p w14:paraId="29F87E90" w14:textId="7E9DEE39" w:rsidR="00CC1CDB" w:rsidRDefault="00CC1CDB" w:rsidP="00CC1CDB">
      <w:pPr>
        <w:jc w:val="both"/>
        <w:rPr>
          <w:sz w:val="22"/>
          <w:szCs w:val="22"/>
        </w:rPr>
      </w:pPr>
    </w:p>
    <w:p w14:paraId="0BC90DBA" w14:textId="3B205D48" w:rsidR="00CC1CDB" w:rsidRDefault="00CC1CDB" w:rsidP="00CC1CDB">
      <w:pPr>
        <w:jc w:val="both"/>
        <w:rPr>
          <w:sz w:val="22"/>
          <w:szCs w:val="22"/>
        </w:rPr>
      </w:pPr>
    </w:p>
    <w:p w14:paraId="63A75C49" w14:textId="35D9526F" w:rsidR="00CC1CDB" w:rsidRDefault="00CC1CDB" w:rsidP="00CC1CDB">
      <w:pPr>
        <w:jc w:val="both"/>
        <w:rPr>
          <w:sz w:val="22"/>
          <w:szCs w:val="22"/>
        </w:rPr>
      </w:pPr>
      <w:r>
        <w:rPr>
          <w:sz w:val="22"/>
          <w:szCs w:val="22"/>
        </w:rPr>
        <w:t>Structure 2:</w:t>
      </w:r>
    </w:p>
    <w:p w14:paraId="6D3C499C" w14:textId="26F8A0A2" w:rsidR="00CC1CDB" w:rsidRDefault="00CC1CDB" w:rsidP="00CC1CDB">
      <w:pPr>
        <w:pStyle w:val="ListParagraph"/>
        <w:numPr>
          <w:ilvl w:val="0"/>
          <w:numId w:val="1"/>
        </w:numPr>
        <w:jc w:val="both"/>
        <w:rPr>
          <w:sz w:val="22"/>
          <w:szCs w:val="22"/>
        </w:rPr>
      </w:pPr>
      <w:r>
        <w:rPr>
          <w:sz w:val="22"/>
          <w:szCs w:val="22"/>
        </w:rPr>
        <w:t>PKC-3 pathway</w:t>
      </w:r>
    </w:p>
    <w:p w14:paraId="6EA38D58" w14:textId="27D71DE6" w:rsidR="00CC1CDB" w:rsidRDefault="00CC1CDB" w:rsidP="00CC1CDB">
      <w:pPr>
        <w:pStyle w:val="ListParagraph"/>
        <w:numPr>
          <w:ilvl w:val="0"/>
          <w:numId w:val="1"/>
        </w:numPr>
        <w:jc w:val="both"/>
        <w:rPr>
          <w:sz w:val="22"/>
          <w:szCs w:val="22"/>
        </w:rPr>
      </w:pPr>
      <w:r>
        <w:rPr>
          <w:sz w:val="22"/>
          <w:szCs w:val="22"/>
        </w:rPr>
        <w:t>PAR-1 pathway</w:t>
      </w:r>
    </w:p>
    <w:p w14:paraId="02A2CF02" w14:textId="7C3077BA" w:rsidR="00CC1CDB" w:rsidRDefault="00CC1CDB" w:rsidP="00CC1CDB">
      <w:pPr>
        <w:pStyle w:val="ListParagraph"/>
        <w:numPr>
          <w:ilvl w:val="0"/>
          <w:numId w:val="1"/>
        </w:numPr>
        <w:jc w:val="both"/>
        <w:rPr>
          <w:sz w:val="22"/>
          <w:szCs w:val="22"/>
        </w:rPr>
      </w:pPr>
      <w:r>
        <w:rPr>
          <w:sz w:val="22"/>
          <w:szCs w:val="22"/>
        </w:rPr>
        <w:t>LGL-1 pathway</w:t>
      </w:r>
    </w:p>
    <w:p w14:paraId="1043496D" w14:textId="39C5BEBF" w:rsidR="00CC1CDB" w:rsidRDefault="00CC1CDB" w:rsidP="00CC1CDB">
      <w:pPr>
        <w:pStyle w:val="ListParagraph"/>
        <w:numPr>
          <w:ilvl w:val="0"/>
          <w:numId w:val="1"/>
        </w:numPr>
        <w:jc w:val="both"/>
        <w:rPr>
          <w:sz w:val="22"/>
          <w:szCs w:val="22"/>
        </w:rPr>
      </w:pPr>
      <w:r>
        <w:rPr>
          <w:sz w:val="22"/>
          <w:szCs w:val="22"/>
        </w:rPr>
        <w:t>CHIN-1 pathway</w:t>
      </w:r>
    </w:p>
    <w:p w14:paraId="723386B7" w14:textId="0295B66B" w:rsidR="00CC1CDB" w:rsidRDefault="00937AE9" w:rsidP="00937AE9">
      <w:pPr>
        <w:pStyle w:val="ListParagraph"/>
        <w:numPr>
          <w:ilvl w:val="0"/>
          <w:numId w:val="1"/>
        </w:numPr>
        <w:jc w:val="both"/>
        <w:rPr>
          <w:sz w:val="22"/>
          <w:szCs w:val="22"/>
        </w:rPr>
      </w:pPr>
      <w:r>
        <w:rPr>
          <w:sz w:val="22"/>
          <w:szCs w:val="22"/>
        </w:rPr>
        <w:t>Cytoskeleton regulation</w:t>
      </w:r>
    </w:p>
    <w:p w14:paraId="4483D45A" w14:textId="56BEE4DC" w:rsidR="00FE7804" w:rsidRDefault="00FE7804" w:rsidP="00FE7804">
      <w:pPr>
        <w:jc w:val="both"/>
        <w:rPr>
          <w:sz w:val="22"/>
          <w:szCs w:val="22"/>
        </w:rPr>
      </w:pPr>
    </w:p>
    <w:p w14:paraId="745EC022" w14:textId="71FDCDFC" w:rsidR="00FE7804" w:rsidRDefault="00FE7804" w:rsidP="00FE7804">
      <w:pPr>
        <w:jc w:val="both"/>
        <w:rPr>
          <w:sz w:val="22"/>
          <w:szCs w:val="22"/>
        </w:rPr>
      </w:pPr>
    </w:p>
    <w:p w14:paraId="054532AC" w14:textId="77777777" w:rsidR="00596731" w:rsidRPr="00596731" w:rsidRDefault="00596731" w:rsidP="00596731">
      <w:pPr>
        <w:jc w:val="both"/>
        <w:rPr>
          <w:sz w:val="22"/>
          <w:szCs w:val="22"/>
        </w:rPr>
      </w:pPr>
    </w:p>
    <w:p w14:paraId="11E2ED70" w14:textId="49BBA7E5" w:rsidR="00FE7804" w:rsidRDefault="00FE7804" w:rsidP="00FE7804">
      <w:pPr>
        <w:jc w:val="both"/>
        <w:rPr>
          <w:sz w:val="22"/>
          <w:szCs w:val="22"/>
        </w:rPr>
      </w:pPr>
    </w:p>
    <w:p w14:paraId="29B1F1B2" w14:textId="2F4B3D18" w:rsidR="00FE7804" w:rsidRPr="00FE7804" w:rsidRDefault="00FE7804" w:rsidP="00FE7804">
      <w:pPr>
        <w:jc w:val="both"/>
        <w:rPr>
          <w:sz w:val="22"/>
          <w:szCs w:val="22"/>
        </w:rPr>
      </w:pPr>
    </w:p>
    <w:sectPr w:rsidR="00FE7804" w:rsidRPr="00FE7804"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A6F3E"/>
    <w:multiLevelType w:val="hybridMultilevel"/>
    <w:tmpl w:val="ED8CA48A"/>
    <w:lvl w:ilvl="0" w:tplc="A1D01CC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37"/>
    <w:rsid w:val="000605CF"/>
    <w:rsid w:val="0009359B"/>
    <w:rsid w:val="00100BF8"/>
    <w:rsid w:val="001061B9"/>
    <w:rsid w:val="00131B38"/>
    <w:rsid w:val="001730C2"/>
    <w:rsid w:val="001B65B9"/>
    <w:rsid w:val="002170E4"/>
    <w:rsid w:val="0025480F"/>
    <w:rsid w:val="00281D4D"/>
    <w:rsid w:val="00284EAB"/>
    <w:rsid w:val="002F3527"/>
    <w:rsid w:val="00317411"/>
    <w:rsid w:val="003256AB"/>
    <w:rsid w:val="0032742A"/>
    <w:rsid w:val="003D3A4F"/>
    <w:rsid w:val="003D6488"/>
    <w:rsid w:val="00401772"/>
    <w:rsid w:val="004143EC"/>
    <w:rsid w:val="00420522"/>
    <w:rsid w:val="00427675"/>
    <w:rsid w:val="00440147"/>
    <w:rsid w:val="004425BF"/>
    <w:rsid w:val="004627F3"/>
    <w:rsid w:val="00471B42"/>
    <w:rsid w:val="004821CA"/>
    <w:rsid w:val="00495343"/>
    <w:rsid w:val="00533834"/>
    <w:rsid w:val="00556AF7"/>
    <w:rsid w:val="00571055"/>
    <w:rsid w:val="00572A0C"/>
    <w:rsid w:val="00596731"/>
    <w:rsid w:val="005D37DD"/>
    <w:rsid w:val="005F6BC8"/>
    <w:rsid w:val="00613ED3"/>
    <w:rsid w:val="00625F45"/>
    <w:rsid w:val="006423B3"/>
    <w:rsid w:val="0066186F"/>
    <w:rsid w:val="00682193"/>
    <w:rsid w:val="006E603D"/>
    <w:rsid w:val="006F1FA4"/>
    <w:rsid w:val="007502D2"/>
    <w:rsid w:val="00834D43"/>
    <w:rsid w:val="00835137"/>
    <w:rsid w:val="0084130D"/>
    <w:rsid w:val="008B1233"/>
    <w:rsid w:val="008C36B9"/>
    <w:rsid w:val="008C4ABF"/>
    <w:rsid w:val="008F3C0E"/>
    <w:rsid w:val="00900FCA"/>
    <w:rsid w:val="00932FD1"/>
    <w:rsid w:val="00937AE9"/>
    <w:rsid w:val="00941258"/>
    <w:rsid w:val="0095046D"/>
    <w:rsid w:val="009A464B"/>
    <w:rsid w:val="009C4895"/>
    <w:rsid w:val="009D284F"/>
    <w:rsid w:val="009D47B2"/>
    <w:rsid w:val="00A71F89"/>
    <w:rsid w:val="00AF3B37"/>
    <w:rsid w:val="00AF5864"/>
    <w:rsid w:val="00B01922"/>
    <w:rsid w:val="00B05A3C"/>
    <w:rsid w:val="00B570E9"/>
    <w:rsid w:val="00B905C9"/>
    <w:rsid w:val="00C2610F"/>
    <w:rsid w:val="00C55C96"/>
    <w:rsid w:val="00C73463"/>
    <w:rsid w:val="00CC1CDB"/>
    <w:rsid w:val="00CD4690"/>
    <w:rsid w:val="00D76737"/>
    <w:rsid w:val="00DA0883"/>
    <w:rsid w:val="00DA0E47"/>
    <w:rsid w:val="00DD1B22"/>
    <w:rsid w:val="00EA202F"/>
    <w:rsid w:val="00EF13D5"/>
    <w:rsid w:val="00F35180"/>
    <w:rsid w:val="00FC468B"/>
    <w:rsid w:val="00FD122B"/>
    <w:rsid w:val="00FE2771"/>
    <w:rsid w:val="00FE78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AED1A5"/>
  <w14:defaultImageDpi w14:val="32767"/>
  <w15:chartTrackingRefBased/>
  <w15:docId w15:val="{37971A75-D3A1-0744-9A90-E10F4684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15</cp:revision>
  <dcterms:created xsi:type="dcterms:W3CDTF">2021-12-02T12:44:00Z</dcterms:created>
  <dcterms:modified xsi:type="dcterms:W3CDTF">2022-01-10T15:41:00Z</dcterms:modified>
</cp:coreProperties>
</file>