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BA0B" w14:textId="6B32EC1A" w:rsidR="0084130D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 xml:space="preserve">Resistance </w:t>
      </w:r>
      <w:r w:rsidR="00982C5B" w:rsidRPr="00F12640">
        <w:rPr>
          <w:b/>
          <w:bCs/>
          <w:sz w:val="22"/>
          <w:szCs w:val="22"/>
        </w:rPr>
        <w:t>and substrate competition</w:t>
      </w:r>
    </w:p>
    <w:p w14:paraId="0F8A74C8" w14:textId="4DAEC592" w:rsidR="00B777AA" w:rsidRPr="00F12640" w:rsidRDefault="00B777AA" w:rsidP="00BD4CC1">
      <w:pPr>
        <w:jc w:val="both"/>
        <w:rPr>
          <w:sz w:val="22"/>
          <w:szCs w:val="22"/>
        </w:rPr>
      </w:pPr>
    </w:p>
    <w:p w14:paraId="44DE4343" w14:textId="1DC73749" w:rsidR="00B777AA" w:rsidRPr="00F12640" w:rsidRDefault="00B777AA" w:rsidP="00BD4CC1">
      <w:pPr>
        <w:jc w:val="both"/>
        <w:rPr>
          <w:sz w:val="22"/>
          <w:szCs w:val="22"/>
        </w:rPr>
      </w:pPr>
    </w:p>
    <w:p w14:paraId="7EA0AC1B" w14:textId="172FD48A" w:rsidR="00B777AA" w:rsidRPr="00F12640" w:rsidRDefault="00B777AA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PAR-3 and PKC-3</w:t>
      </w:r>
    </w:p>
    <w:p w14:paraId="20F97B7D" w14:textId="1B988F11" w:rsidR="00B777AA" w:rsidRPr="00F12640" w:rsidRDefault="00B777AA" w:rsidP="00BD4CC1">
      <w:pPr>
        <w:jc w:val="both"/>
        <w:rPr>
          <w:sz w:val="22"/>
          <w:szCs w:val="22"/>
        </w:rPr>
      </w:pPr>
    </w:p>
    <w:p w14:paraId="46B54F20" w14:textId="34A95132" w:rsidR="00982C5B" w:rsidRPr="00F12640" w:rsidRDefault="00982C5B" w:rsidP="00BD4CC1">
      <w:pPr>
        <w:jc w:val="both"/>
        <w:rPr>
          <w:sz w:val="22"/>
          <w:szCs w:val="22"/>
        </w:rPr>
      </w:pPr>
    </w:p>
    <w:p w14:paraId="5476931C" w14:textId="77777777" w:rsidR="008F0ADD" w:rsidRPr="00F12640" w:rsidRDefault="008F0ADD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63F686CA" w14:textId="77777777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  <w:r w:rsidRPr="00F12640">
        <w:rPr>
          <w:b/>
          <w:bCs/>
          <w:color w:val="000000" w:themeColor="text1"/>
          <w:sz w:val="22"/>
          <w:szCs w:val="22"/>
        </w:rPr>
        <w:t>PAR-2 to PAR-2</w:t>
      </w:r>
    </w:p>
    <w:p w14:paraId="039DE9A0" w14:textId="218216F4" w:rsidR="008F0ADD" w:rsidRPr="00F12640" w:rsidRDefault="008F0ADD" w:rsidP="00BD4CC1">
      <w:pPr>
        <w:jc w:val="both"/>
        <w:rPr>
          <w:b/>
          <w:bCs/>
          <w:color w:val="000000" w:themeColor="text1"/>
          <w:sz w:val="22"/>
          <w:szCs w:val="22"/>
        </w:rPr>
      </w:pPr>
    </w:p>
    <w:p w14:paraId="102EAAD8" w14:textId="0C9F24FF" w:rsidR="008F0ADD" w:rsidRPr="00F12640" w:rsidRDefault="008F0ADD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Evidence from </w:t>
      </w:r>
      <w:proofErr w:type="gramStart"/>
      <w:r w:rsidRPr="00F12640">
        <w:rPr>
          <w:color w:val="000000" w:themeColor="text1"/>
          <w:sz w:val="22"/>
          <w:szCs w:val="22"/>
        </w:rPr>
        <w:t>a number of</w:t>
      </w:r>
      <w:proofErr w:type="gramEnd"/>
      <w:r w:rsidRPr="00F12640">
        <w:rPr>
          <w:color w:val="000000" w:themeColor="text1"/>
          <w:sz w:val="22"/>
          <w:szCs w:val="22"/>
        </w:rPr>
        <w:t xml:space="preserve"> studies suggests that, whilst PAR-2 is highly sensitive to PKC-3 when it’s weakly concentrated, it is able to resist antagonism once in an established pPAR domain. </w:t>
      </w:r>
      <w:r w:rsidRPr="00F12640">
        <w:rPr>
          <w:rFonts w:cstheme="minorHAnsi"/>
          <w:sz w:val="22"/>
          <w:szCs w:val="22"/>
          <w:lang w:val="en-US"/>
        </w:rPr>
        <w:t xml:space="preserve">Although PAR-2 requires an initial aPAR asymmetry to establish a domain, stable maintenance of PAR-2 domains does not require this aPAR asymmetry to be maintained. For example, in PAR-1 knockdown/mutant conditions, aPAR and pPAR are initially segregated into domains, but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eventually return to the posterior without displacing </w:t>
      </w:r>
      <w:proofErr w:type="spellStart"/>
      <w:r w:rsidRPr="00F12640">
        <w:rPr>
          <w:rFonts w:cstheme="minorHAnsi"/>
          <w:sz w:val="22"/>
          <w:szCs w:val="22"/>
          <w:lang w:val="en-US"/>
        </w:rPr>
        <w:t>pPARs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from the posterior cortex (Hao et al., 2006). Similarly, acute targeting of PKC-3 uniformly to the membrane is unable to fully disassemble PAR-2 domains after polarity establishment (Rodriguez et al., 2017). Interestingly, the same study showed that this resistance of PAR-2 to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is acquired only when PAR-2 is concentrated in a domain (</w:t>
      </w:r>
      <w:proofErr w:type="gramStart"/>
      <w:r w:rsidRPr="00F12640">
        <w:rPr>
          <w:rFonts w:cstheme="minorHAnsi"/>
          <w:sz w:val="22"/>
          <w:szCs w:val="22"/>
          <w:lang w:val="en-US"/>
        </w:rPr>
        <w:t>i.e.</w:t>
      </w:r>
      <w:proofErr w:type="gramEnd"/>
      <w:r w:rsidRPr="00F12640">
        <w:rPr>
          <w:rFonts w:cstheme="minorHAnsi"/>
          <w:sz w:val="22"/>
          <w:szCs w:val="22"/>
          <w:lang w:val="en-US"/>
        </w:rPr>
        <w:t xml:space="preserve"> PAR-2 is not resistant to removal by </w:t>
      </w:r>
      <w:proofErr w:type="spellStart"/>
      <w:r w:rsidRPr="00F12640">
        <w:rPr>
          <w:rFonts w:cstheme="minorHAnsi"/>
          <w:sz w:val="22"/>
          <w:szCs w:val="22"/>
          <w:lang w:val="en-US"/>
        </w:rPr>
        <w:t>aPARs</w:t>
      </w:r>
      <w:proofErr w:type="spellEnd"/>
      <w:r w:rsidRPr="00F12640">
        <w:rPr>
          <w:rFonts w:cstheme="minorHAnsi"/>
          <w:sz w:val="22"/>
          <w:szCs w:val="22"/>
          <w:lang w:val="en-US"/>
        </w:rPr>
        <w:t xml:space="preserve"> when uniform</w:t>
      </w:r>
      <w:r w:rsidR="00B870AC">
        <w:rPr>
          <w:rFonts w:cstheme="minorHAnsi"/>
          <w:sz w:val="22"/>
          <w:szCs w:val="22"/>
          <w:lang w:val="en-US"/>
        </w:rPr>
        <w:t xml:space="preserve"> at the cortex at a lower concentration</w:t>
      </w:r>
      <w:r w:rsidRPr="00F12640">
        <w:rPr>
          <w:rFonts w:cstheme="minorHAnsi"/>
          <w:sz w:val="22"/>
          <w:szCs w:val="22"/>
          <w:lang w:val="en-US"/>
        </w:rPr>
        <w:t xml:space="preserve">). </w:t>
      </w:r>
    </w:p>
    <w:p w14:paraId="546FC58D" w14:textId="61B706E8" w:rsidR="008F0ADD" w:rsidRPr="00F12640" w:rsidRDefault="008F0ADD" w:rsidP="00BD4CC1">
      <w:pPr>
        <w:jc w:val="both"/>
        <w:rPr>
          <w:sz w:val="22"/>
          <w:szCs w:val="22"/>
        </w:rPr>
      </w:pPr>
    </w:p>
    <w:p w14:paraId="7D47D931" w14:textId="1E0F65EC" w:rsidR="00E94F67" w:rsidRPr="00F12640" w:rsidRDefault="00E94F67" w:rsidP="00BD4CC1">
      <w:pPr>
        <w:jc w:val="both"/>
        <w:rPr>
          <w:sz w:val="22"/>
          <w:szCs w:val="22"/>
        </w:rPr>
      </w:pPr>
      <w:r w:rsidRPr="00F12640">
        <w:rPr>
          <w:sz w:val="22"/>
          <w:szCs w:val="22"/>
        </w:rPr>
        <w:t xml:space="preserve">This phenomenon seems to operate in trans, rather than a cis phenomenon independent to each PAR-2 molecule. PAR-2 mutants that are usually unable to resist aPAR invasion can do so in the presence of endogenous wild-type PAR-2, indicating that PAR-2 is able to provide protection to other molecules against antagonism, possibly via a direct interaction with PKC-3, or possibly via an intermediate. The molecular details of this haven’t been determined. </w:t>
      </w:r>
    </w:p>
    <w:p w14:paraId="43F48A25" w14:textId="77777777" w:rsidR="00E94F67" w:rsidRPr="00F12640" w:rsidRDefault="00E94F67" w:rsidP="00BD4CC1">
      <w:pPr>
        <w:jc w:val="both"/>
        <w:rPr>
          <w:sz w:val="22"/>
          <w:szCs w:val="22"/>
        </w:rPr>
      </w:pPr>
    </w:p>
    <w:p w14:paraId="27DFEC3C" w14:textId="77777777" w:rsidR="008F0ADD" w:rsidRPr="00F12640" w:rsidRDefault="008F0ADD" w:rsidP="00BD4CC1">
      <w:pPr>
        <w:jc w:val="both"/>
        <w:rPr>
          <w:sz w:val="22"/>
          <w:szCs w:val="22"/>
          <w:lang w:val="en-US"/>
        </w:rPr>
      </w:pPr>
    </w:p>
    <w:p w14:paraId="68C38A41" w14:textId="4B9F1333" w:rsidR="00982C5B" w:rsidRPr="00F12640" w:rsidRDefault="00982C5B" w:rsidP="00BD4CC1">
      <w:pPr>
        <w:jc w:val="both"/>
        <w:rPr>
          <w:b/>
          <w:bCs/>
          <w:sz w:val="22"/>
          <w:szCs w:val="22"/>
        </w:rPr>
      </w:pPr>
      <w:r w:rsidRPr="00F12640">
        <w:rPr>
          <w:b/>
          <w:bCs/>
          <w:sz w:val="22"/>
          <w:szCs w:val="22"/>
        </w:rPr>
        <w:t>PAR-2 to PAR-1</w:t>
      </w:r>
    </w:p>
    <w:p w14:paraId="270C3B53" w14:textId="77777777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47BE3975" w14:textId="046A3136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 xml:space="preserve">Part of the role of PAR-2 in recruiting PAR-1 involves interaction with PKC-3. </w:t>
      </w:r>
      <w:r w:rsidRPr="00F12640">
        <w:rPr>
          <w:rFonts w:cstheme="minorHAnsi"/>
          <w:color w:val="000000" w:themeColor="text1"/>
          <w:sz w:val="22"/>
          <w:szCs w:val="22"/>
        </w:rPr>
        <w:t xml:space="preserve">In otherwise wild type systems, PAR-1 is strictly dependent on PAR-2 to bind to the cortex, becoming entirely cytoplasmic when PAR-2 is lost (refs). In contrast, in aPAR mutant backgrounds PAR-1 shows some ability to bind to the cortex without PAR-2, but this is enhanced when PAR-2 is also present (refs). This implies a dual requirement of PAR-2 in localising PAR-1: an aPAR independent mechanism involving direct recruitment of PAR-1 by PAR-2, and a secondary role involving local protection against 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aPARs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>.</w:t>
      </w:r>
    </w:p>
    <w:p w14:paraId="67AF09EE" w14:textId="77777777" w:rsidR="00982C5B" w:rsidRPr="00F12640" w:rsidRDefault="00982C5B" w:rsidP="00BD4CC1">
      <w:pPr>
        <w:jc w:val="both"/>
        <w:rPr>
          <w:rFonts w:cstheme="minorHAnsi"/>
          <w:color w:val="000000" w:themeColor="text1"/>
          <w:sz w:val="22"/>
          <w:szCs w:val="22"/>
        </w:rPr>
      </w:pPr>
    </w:p>
    <w:p w14:paraId="411CD3CA" w14:textId="6D342E7D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rFonts w:cstheme="minorHAnsi"/>
          <w:color w:val="000000" w:themeColor="text1"/>
          <w:sz w:val="22"/>
          <w:szCs w:val="22"/>
        </w:rPr>
        <w:t>PAR-2 has been shown to inhibit phosphorylation of PAR-1 by PKC-3 in in vitro assays in a concentration-dependent manner (</w:t>
      </w:r>
      <w:proofErr w:type="spellStart"/>
      <w:r w:rsidRPr="00F12640">
        <w:rPr>
          <w:rFonts w:cstheme="minorHAnsi"/>
          <w:color w:val="000000" w:themeColor="text1"/>
          <w:sz w:val="22"/>
          <w:szCs w:val="22"/>
        </w:rPr>
        <w:t>Ramanujam</w:t>
      </w:r>
      <w:proofErr w:type="spellEnd"/>
      <w:r w:rsidRPr="00F12640">
        <w:rPr>
          <w:rFonts w:cstheme="minorHAnsi"/>
          <w:color w:val="000000" w:themeColor="text1"/>
          <w:sz w:val="22"/>
          <w:szCs w:val="22"/>
        </w:rPr>
        <w:t xml:space="preserve">). This inhibition proceeds even in PAR-1 mutants that are unable to interact with PAR-1, implying that PAR-2 </w:t>
      </w:r>
      <w:proofErr w:type="gramStart"/>
      <w:r w:rsidRPr="00F12640">
        <w:rPr>
          <w:rFonts w:cstheme="minorHAnsi"/>
          <w:color w:val="000000" w:themeColor="text1"/>
          <w:sz w:val="22"/>
          <w:szCs w:val="22"/>
        </w:rPr>
        <w:t>is able to</w:t>
      </w:r>
      <w:proofErr w:type="gramEnd"/>
      <w:r w:rsidRPr="00F12640">
        <w:rPr>
          <w:rFonts w:cstheme="minorHAnsi"/>
          <w:color w:val="000000" w:themeColor="text1"/>
          <w:sz w:val="22"/>
          <w:szCs w:val="22"/>
        </w:rPr>
        <w:t xml:space="preserve"> act as a competitive inhibitor. That said, protection is even greater in wild type PAR-1 where an interaction with PAR-2 is permitted, suggesting that the interaction with PAR-2 can additionally block access of PKC-3 to PAR-1. </w:t>
      </w:r>
      <w:r w:rsidRPr="00F12640">
        <w:rPr>
          <w:color w:val="000000" w:themeColor="text1"/>
          <w:sz w:val="22"/>
          <w:szCs w:val="22"/>
        </w:rPr>
        <w:t>It could be that PAR-2 interaction physically blocks the PKC-3 phosphorylation site on PAR-1, induces a conformational change in PAR-1 that occludes this site, or promotes membrane binding which blocks this site.</w:t>
      </w:r>
    </w:p>
    <w:p w14:paraId="05E86939" w14:textId="40197444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09C46EDA" w14:textId="1133C5C2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  <w:r w:rsidRPr="00F12640">
        <w:rPr>
          <w:color w:val="000000" w:themeColor="text1"/>
          <w:sz w:val="22"/>
          <w:szCs w:val="22"/>
        </w:rPr>
        <w:t>Given that competitive inhibition by PAR-2 has been described as a protective mechanism for PAR-1, it is plausible that this might contribute to maintenance of LGL-1 and CHIN-1 in a similar fashion. Indeed, whilst CHIN-1 can localise to the cortex in the absence of PAR-2 in otherwise wild type systems (unlike PAR-1), localisation is severely reduced (</w:t>
      </w:r>
      <w:proofErr w:type="spellStart"/>
      <w:r w:rsidRPr="00F12640">
        <w:rPr>
          <w:color w:val="000000" w:themeColor="text1"/>
          <w:sz w:val="22"/>
          <w:szCs w:val="22"/>
        </w:rPr>
        <w:t>Kumfer</w:t>
      </w:r>
      <w:proofErr w:type="spellEnd"/>
      <w:r w:rsidRPr="00F12640">
        <w:rPr>
          <w:color w:val="000000" w:themeColor="text1"/>
          <w:sz w:val="22"/>
          <w:szCs w:val="22"/>
        </w:rPr>
        <w:t xml:space="preserve">, </w:t>
      </w:r>
      <w:proofErr w:type="spellStart"/>
      <w:r w:rsidRPr="00F12640">
        <w:rPr>
          <w:color w:val="000000" w:themeColor="text1"/>
          <w:sz w:val="22"/>
          <w:szCs w:val="22"/>
        </w:rPr>
        <w:t>Sailer</w:t>
      </w:r>
      <w:proofErr w:type="spellEnd"/>
      <w:r w:rsidRPr="00F12640">
        <w:rPr>
          <w:color w:val="000000" w:themeColor="text1"/>
          <w:sz w:val="22"/>
          <w:szCs w:val="22"/>
        </w:rPr>
        <w:t xml:space="preserve">). Alternatively, this may be a secondary consequence of rearwards flows observed in par-2 mutants (discussed </w:t>
      </w:r>
      <w:r w:rsidR="00B870AC">
        <w:rPr>
          <w:color w:val="000000" w:themeColor="text1"/>
          <w:sz w:val="22"/>
          <w:szCs w:val="22"/>
        </w:rPr>
        <w:t>earlier</w:t>
      </w:r>
      <w:r w:rsidRPr="00F12640">
        <w:rPr>
          <w:color w:val="000000" w:themeColor="text1"/>
          <w:sz w:val="22"/>
          <w:szCs w:val="22"/>
        </w:rPr>
        <w:t>), or the two could be fundamentally linked.</w:t>
      </w:r>
    </w:p>
    <w:p w14:paraId="4FDD51C0" w14:textId="77777777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p w14:paraId="7C4805E3" w14:textId="77777777" w:rsidR="00982C5B" w:rsidRPr="00F12640" w:rsidRDefault="00982C5B" w:rsidP="00BD4CC1">
      <w:pPr>
        <w:jc w:val="both"/>
        <w:rPr>
          <w:color w:val="000000" w:themeColor="text1"/>
          <w:sz w:val="22"/>
          <w:szCs w:val="22"/>
        </w:rPr>
      </w:pPr>
    </w:p>
    <w:sectPr w:rsidR="00982C5B" w:rsidRPr="00F12640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A"/>
    <w:rsid w:val="00085E01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7E0D60"/>
    <w:rsid w:val="00834D43"/>
    <w:rsid w:val="00835137"/>
    <w:rsid w:val="0084130D"/>
    <w:rsid w:val="008B1233"/>
    <w:rsid w:val="008C4ABF"/>
    <w:rsid w:val="008F0ADD"/>
    <w:rsid w:val="00932FD1"/>
    <w:rsid w:val="00941258"/>
    <w:rsid w:val="0095046D"/>
    <w:rsid w:val="00982C5B"/>
    <w:rsid w:val="009A464B"/>
    <w:rsid w:val="009C4895"/>
    <w:rsid w:val="009D284F"/>
    <w:rsid w:val="00AF5864"/>
    <w:rsid w:val="00B01922"/>
    <w:rsid w:val="00B05A3C"/>
    <w:rsid w:val="00B777AA"/>
    <w:rsid w:val="00B870AC"/>
    <w:rsid w:val="00BD4CC1"/>
    <w:rsid w:val="00C2610F"/>
    <w:rsid w:val="00C55C96"/>
    <w:rsid w:val="00CD4690"/>
    <w:rsid w:val="00D76737"/>
    <w:rsid w:val="00DA0883"/>
    <w:rsid w:val="00DA0E47"/>
    <w:rsid w:val="00DD1B22"/>
    <w:rsid w:val="00E94F67"/>
    <w:rsid w:val="00EF13D5"/>
    <w:rsid w:val="00F12640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2C5A"/>
  <w14:defaultImageDpi w14:val="32767"/>
  <w15:chartTrackingRefBased/>
  <w15:docId w15:val="{CFAAAA7F-36EB-3340-88B3-F9E58B5B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5</cp:revision>
  <dcterms:created xsi:type="dcterms:W3CDTF">2021-12-02T15:28:00Z</dcterms:created>
  <dcterms:modified xsi:type="dcterms:W3CDTF">2022-01-10T15:53:00Z</dcterms:modified>
</cp:coreProperties>
</file>