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A4D3" w14:textId="697607BA" w:rsidR="003C724E" w:rsidRDefault="003C724E">
      <w:pPr>
        <w:rPr>
          <w:b/>
          <w:bCs/>
          <w:color w:val="0000CC"/>
        </w:rPr>
      </w:pPr>
      <w:r>
        <w:rPr>
          <w:b/>
          <w:bCs/>
          <w:color w:val="0000CC"/>
        </w:rPr>
        <w:t>Alternative structure:</w:t>
      </w:r>
    </w:p>
    <w:p w14:paraId="701354D1" w14:textId="34A61B21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 w:rsidRPr="003C724E">
        <w:rPr>
          <w:b/>
          <w:bCs/>
          <w:color w:val="0000CC"/>
        </w:rPr>
        <w:t>Par-2 mutants can’t break symmetry in no-flow conditions</w:t>
      </w:r>
    </w:p>
    <w:p w14:paraId="636B81F3" w14:textId="015DBDE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Quantitative analysis of mutants</w:t>
      </w:r>
    </w:p>
    <w:p w14:paraId="044AB264" w14:textId="5E50657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Polarity even with uniform aPAR</w:t>
      </w:r>
    </w:p>
    <w:p w14:paraId="4D511EA8" w14:textId="209373DD" w:rsidR="003C724E" w:rsidRP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Symmetry breaking behaviour implies intrinsic positive feedback</w:t>
      </w:r>
    </w:p>
    <w:p w14:paraId="414C6DC4" w14:textId="77777777" w:rsidR="003C724E" w:rsidRPr="003C724E" w:rsidRDefault="003C724E">
      <w:pPr>
        <w:rPr>
          <w:b/>
          <w:bCs/>
          <w:color w:val="0000CC"/>
        </w:rPr>
      </w:pPr>
    </w:p>
    <w:p w14:paraId="235DB40E" w14:textId="1B770D78" w:rsidR="0084130D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PAR-2 polarity in systems with uniform </w:t>
      </w:r>
      <w:r>
        <w:rPr>
          <w:b/>
          <w:bCs/>
          <w:color w:val="0000CC"/>
          <w:u w:val="single"/>
        </w:rPr>
        <w:t>aPAR</w:t>
      </w:r>
    </w:p>
    <w:p w14:paraId="3C08EBE3" w14:textId="1600E203" w:rsidR="00567EA7" w:rsidRDefault="00567EA7">
      <w:pPr>
        <w:rPr>
          <w:b/>
          <w:bCs/>
          <w:color w:val="0000CC"/>
          <w:u w:val="single"/>
        </w:rPr>
      </w:pPr>
    </w:p>
    <w:p w14:paraId="3AEB4D9B" w14:textId="4278954D" w:rsidR="00567EA7" w:rsidRDefault="00567EA7">
      <w:pPr>
        <w:rPr>
          <w:b/>
          <w:bCs/>
          <w:color w:val="0000CC"/>
          <w:u w:val="single"/>
        </w:rPr>
      </w:pPr>
    </w:p>
    <w:p w14:paraId="73A16EA5" w14:textId="6244E4AF" w:rsidR="00567EA7" w:rsidRDefault="00567EA7">
      <w:pPr>
        <w:rPr>
          <w:color w:val="000000" w:themeColor="text1"/>
        </w:rPr>
      </w:pPr>
      <w:r>
        <w:rPr>
          <w:color w:val="000000" w:themeColor="text1"/>
        </w:rPr>
        <w:t xml:space="preserve">Also looked for similar behaviour in a mutant of par-3 </w:t>
      </w:r>
      <w:r w:rsidR="0094044F">
        <w:rPr>
          <w:color w:val="000000" w:themeColor="text1"/>
        </w:rPr>
        <w:t>designed to prevent phosphorylation</w:t>
      </w:r>
    </w:p>
    <w:p w14:paraId="0806090F" w14:textId="52F31181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 vitro assays confirm that mutation to this single site prevents phosphorylation</w:t>
      </w:r>
    </w:p>
    <w:p w14:paraId="51F36451" w14:textId="6B39331F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Previously only looked at in bombarded lines</w:t>
      </w:r>
    </w:p>
    <w:p w14:paraId="0C6B14DD" w14:textId="3D4C0CDA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Introduced it by CRISPR at the endogenous site in a dual-labelled parent line</w:t>
      </w:r>
    </w:p>
    <w:p w14:paraId="7F2193FE" w14:textId="53AC8314" w:rsidR="00567EA7" w:rsidRDefault="0094044F" w:rsidP="0094044F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567EA7">
        <w:rPr>
          <w:color w:val="000000" w:themeColor="text1"/>
        </w:rPr>
        <w:t xml:space="preserve">ee similar behaviour </w:t>
      </w:r>
      <w:r>
        <w:rPr>
          <w:color w:val="000000" w:themeColor="text1"/>
        </w:rPr>
        <w:t>to par-1 mutant</w:t>
      </w:r>
    </w:p>
    <w:p w14:paraId="26FF73D2" w14:textId="54C14856" w:rsidR="00567EA7" w:rsidRPr="00567EA7" w:rsidRDefault="00567EA7">
      <w:pPr>
        <w:rPr>
          <w:color w:val="000000" w:themeColor="text1"/>
        </w:rPr>
      </w:pPr>
      <w:r>
        <w:rPr>
          <w:color w:val="000000" w:themeColor="text1"/>
        </w:rPr>
        <w:t>This line will be favoured for further studies as it is considerably less sick</w:t>
      </w:r>
    </w:p>
    <w:p w14:paraId="7AE3A9EA" w14:textId="0AFA6940" w:rsidR="00567EA7" w:rsidRDefault="00567EA7">
      <w:pPr>
        <w:rPr>
          <w:b/>
          <w:bCs/>
          <w:color w:val="0000CC"/>
          <w:u w:val="single"/>
        </w:rPr>
      </w:pPr>
    </w:p>
    <w:p w14:paraId="43A47DD0" w14:textId="789CBA64" w:rsidR="00567EA7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Symmetry breaking against uniform </w:t>
      </w:r>
      <w:r>
        <w:rPr>
          <w:b/>
          <w:bCs/>
          <w:color w:val="0000CC"/>
          <w:u w:val="single"/>
        </w:rPr>
        <w:t>aPAR</w:t>
      </w:r>
    </w:p>
    <w:p w14:paraId="2FA77BF3" w14:textId="474AE93A" w:rsidR="00567EA7" w:rsidRDefault="00567EA7">
      <w:pPr>
        <w:rPr>
          <w:b/>
          <w:bCs/>
          <w:color w:val="0000CC"/>
          <w:u w:val="single"/>
        </w:rPr>
      </w:pPr>
    </w:p>
    <w:p w14:paraId="1FE228A5" w14:textId="5C5391B3" w:rsidR="00567EA7" w:rsidRDefault="0094044F">
      <w:pPr>
        <w:rPr>
          <w:color w:val="000000" w:themeColor="text1"/>
        </w:rPr>
      </w:pPr>
      <w:r>
        <w:rPr>
          <w:color w:val="000000" w:themeColor="text1"/>
        </w:rPr>
        <w:t>The polarity phenotypes described above are unusual and not seen in normal polarity conditions</w:t>
      </w:r>
    </w:p>
    <w:p w14:paraId="0D096868" w14:textId="610BAD59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Suggests there might be an alternative mode of symmetry breaking</w:t>
      </w:r>
    </w:p>
    <w:p w14:paraId="180621D3" w14:textId="3E4C641C" w:rsidR="0094044F" w:rsidRDefault="0094044F">
      <w:pPr>
        <w:rPr>
          <w:color w:val="000000" w:themeColor="text1"/>
        </w:rPr>
      </w:pPr>
    </w:p>
    <w:p w14:paraId="13A95274" w14:textId="37238CA8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 xml:space="preserve">Took </w:t>
      </w:r>
      <w:proofErr w:type="spellStart"/>
      <w:r>
        <w:rPr>
          <w:color w:val="000000" w:themeColor="text1"/>
        </w:rPr>
        <w:t>timelapse</w:t>
      </w:r>
      <w:proofErr w:type="spellEnd"/>
      <w:r>
        <w:rPr>
          <w:color w:val="000000" w:themeColor="text1"/>
        </w:rPr>
        <w:t xml:space="preserve"> movies of par-3 s950a embryos with mlc4 RNAi</w:t>
      </w:r>
    </w:p>
    <w:p w14:paraId="69D7E7BD" w14:textId="6E03A973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Beginning with uniform cortical par-6 and par-2 mostly cytoplasmic</w:t>
      </w:r>
    </w:p>
    <w:p w14:paraId="1D888748" w14:textId="2AFDDBCA" w:rsidR="0094044F" w:rsidRDefault="0094044F" w:rsidP="00252DB7">
      <w:pPr>
        <w:rPr>
          <w:color w:val="000000" w:themeColor="text1"/>
        </w:rPr>
      </w:pPr>
      <w:r>
        <w:rPr>
          <w:color w:val="000000" w:themeColor="text1"/>
        </w:rPr>
        <w:t xml:space="preserve">Localisation of cortical par-2 at the </w:t>
      </w:r>
      <w:proofErr w:type="spellStart"/>
      <w:r>
        <w:rPr>
          <w:color w:val="000000" w:themeColor="text1"/>
        </w:rPr>
        <w:t>midcell</w:t>
      </w:r>
      <w:proofErr w:type="spellEnd"/>
      <w:r>
        <w:rPr>
          <w:color w:val="000000" w:themeColor="text1"/>
        </w:rPr>
        <w:t xml:space="preserve"> appears to coincide with </w:t>
      </w:r>
      <w:r w:rsidR="00252DB7">
        <w:rPr>
          <w:color w:val="000000" w:themeColor="text1"/>
        </w:rPr>
        <w:t>a local clearance of PAR-6, suggesting that this is due to a local release of inhibition</w:t>
      </w:r>
    </w:p>
    <w:p w14:paraId="67E58F59" w14:textId="668F7A3C" w:rsidR="00252DB7" w:rsidRDefault="00252DB7" w:rsidP="00252DB7">
      <w:pPr>
        <w:rPr>
          <w:color w:val="000000" w:themeColor="text1"/>
        </w:rPr>
      </w:pPr>
      <w:r>
        <w:rPr>
          <w:color w:val="000000" w:themeColor="text1"/>
        </w:rPr>
        <w:t>Interestingly, however, this local clearance of PAR-6 appears to be transient, and PAR-6 becomes largely uniform again after a few minutes</w:t>
      </w:r>
    </w:p>
    <w:p w14:paraId="29513DCB" w14:textId="1CBD030D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Despite this, the PAR-2 domain continues to grow in concentration and size, eventually able to stabilise a full domain against uniform aPAR</w:t>
      </w:r>
    </w:p>
    <w:p w14:paraId="1A2ABB54" w14:textId="2A6FF359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(In this case, we can also see a smaller domain at the embryo posterior, which may represent normal microtubule dependent symmetry breaking.)</w:t>
      </w:r>
    </w:p>
    <w:p w14:paraId="113BFDEA" w14:textId="7902CCCA" w:rsidR="00252DB7" w:rsidRDefault="00252DB7">
      <w:pPr>
        <w:rPr>
          <w:color w:val="000000" w:themeColor="text1"/>
        </w:rPr>
      </w:pPr>
    </w:p>
    <w:p w14:paraId="28E70F0A" w14:textId="3693457D" w:rsidR="00252DB7" w:rsidRPr="0094044F" w:rsidRDefault="00642C2D" w:rsidP="00642C2D">
      <w:pPr>
        <w:rPr>
          <w:color w:val="000000" w:themeColor="text1"/>
        </w:rPr>
      </w:pPr>
      <w:r>
        <w:rPr>
          <w:color w:val="000000" w:themeColor="text1"/>
        </w:rPr>
        <w:t>Therefore, whilst local PAR-6 clearance appears to be the cause for initial PAR-2 loading, in line with the mutual antagonism model, growth of the domain can proceed even without aPAR clearance. This suggests that there may be mechanisms of</w:t>
      </w:r>
      <w:r w:rsidR="00252DB7">
        <w:rPr>
          <w:color w:val="000000" w:themeColor="text1"/>
        </w:rPr>
        <w:t xml:space="preserve"> intrinsic positive feedback driving PAR-2 localisation that doesn’t rely on local </w:t>
      </w:r>
      <w:r w:rsidR="00C156B1">
        <w:rPr>
          <w:color w:val="000000" w:themeColor="text1"/>
        </w:rPr>
        <w:t>aPAR</w:t>
      </w:r>
      <w:r w:rsidR="00252DB7">
        <w:rPr>
          <w:color w:val="000000" w:themeColor="text1"/>
        </w:rPr>
        <w:t xml:space="preserve"> clearance</w:t>
      </w:r>
      <w:r w:rsidR="00C156B1">
        <w:rPr>
          <w:color w:val="000000" w:themeColor="text1"/>
        </w:rPr>
        <w:t>.</w:t>
      </w:r>
    </w:p>
    <w:p w14:paraId="151BBA07" w14:textId="4ADD8F9F" w:rsidR="0094044F" w:rsidRDefault="0094044F">
      <w:pPr>
        <w:rPr>
          <w:b/>
          <w:bCs/>
          <w:color w:val="0000CC"/>
          <w:u w:val="single"/>
        </w:rPr>
      </w:pPr>
    </w:p>
    <w:p w14:paraId="30DB9DFB" w14:textId="77777777" w:rsidR="00C156B1" w:rsidRDefault="00C156B1">
      <w:pPr>
        <w:rPr>
          <w:b/>
          <w:bCs/>
          <w:color w:val="0000CC"/>
          <w:u w:val="single"/>
        </w:rPr>
      </w:pPr>
    </w:p>
    <w:p w14:paraId="5EF4106B" w14:textId="51673A2D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Polarity phenotypes in PAR-2 mutants</w:t>
      </w:r>
    </w:p>
    <w:p w14:paraId="002FAE29" w14:textId="5F3FC579" w:rsidR="00567EA7" w:rsidRDefault="00567EA7">
      <w:pPr>
        <w:rPr>
          <w:b/>
          <w:bCs/>
          <w:color w:val="0000CC"/>
        </w:rPr>
      </w:pPr>
    </w:p>
    <w:p w14:paraId="0172FF1E" w14:textId="65557F9B" w:rsidR="00C156B1" w:rsidRDefault="00252DB7" w:rsidP="00C156B1">
      <w:pPr>
        <w:rPr>
          <w:color w:val="000000" w:themeColor="text1"/>
        </w:rPr>
      </w:pPr>
      <w:r>
        <w:rPr>
          <w:color w:val="000000" w:themeColor="text1"/>
        </w:rPr>
        <w:t>Mutants to the putative microtubule binding sites</w:t>
      </w:r>
      <w:r w:rsidR="00C156B1">
        <w:rPr>
          <w:color w:val="000000" w:themeColor="text1"/>
        </w:rPr>
        <w:t xml:space="preserve"> have already been described to disrupt symmetry breaking in no-flow regimes.</w:t>
      </w:r>
    </w:p>
    <w:p w14:paraId="1C0D422A" w14:textId="27A0D457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However, this has not been tested in CRISPR lines</w:t>
      </w:r>
    </w:p>
    <w:p w14:paraId="5FFEE38C" w14:textId="370F32C0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The results show, as expected, that PAR-2 fails to establish polarity domains in these conditions.</w:t>
      </w:r>
    </w:p>
    <w:p w14:paraId="39ABE667" w14:textId="12B2CAD3" w:rsidR="00C156B1" w:rsidRDefault="00C156B1" w:rsidP="00C156B1">
      <w:pPr>
        <w:rPr>
          <w:color w:val="000000" w:themeColor="text1"/>
        </w:rPr>
      </w:pPr>
    </w:p>
    <w:p w14:paraId="701BBD1E" w14:textId="417532A2" w:rsidR="00C156B1" w:rsidRPr="00252DB7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lastRenderedPageBreak/>
        <w:t>I extended this analysis to some PAR-2 mutants that have previously been described, but not characterised in these conditions.</w:t>
      </w:r>
    </w:p>
    <w:p w14:paraId="6A4A88C4" w14:textId="263062AC" w:rsidR="00567EA7" w:rsidRDefault="00567EA7">
      <w:pPr>
        <w:rPr>
          <w:b/>
          <w:bCs/>
          <w:color w:val="0000CC"/>
        </w:rPr>
      </w:pPr>
    </w:p>
    <w:p w14:paraId="294622B9" w14:textId="02AEDC91" w:rsidR="00FF5C96" w:rsidRDefault="00FF5C96">
      <w:pPr>
        <w:rPr>
          <w:b/>
          <w:bCs/>
          <w:color w:val="0000CC"/>
        </w:rPr>
      </w:pPr>
    </w:p>
    <w:p w14:paraId="0950537D" w14:textId="77777777" w:rsidR="00FF5C96" w:rsidRDefault="00FF5C96">
      <w:pPr>
        <w:rPr>
          <w:b/>
          <w:bCs/>
          <w:color w:val="0000CC"/>
        </w:rPr>
      </w:pPr>
    </w:p>
    <w:p w14:paraId="342C0D9D" w14:textId="7BA908F3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Quantitative characterisation of PAR-2 mutants</w:t>
      </w:r>
    </w:p>
    <w:p w14:paraId="1EC94598" w14:textId="1DF97FE8" w:rsidR="003C724E" w:rsidRDefault="003C724E">
      <w:pPr>
        <w:rPr>
          <w:color w:val="000000" w:themeColor="text1"/>
        </w:rPr>
      </w:pPr>
      <w:r>
        <w:rPr>
          <w:color w:val="000000" w:themeColor="text1"/>
        </w:rPr>
        <w:t>To help to understand the phenotypes presented above, I performed full quantitative analysis on this set of mutants</w:t>
      </w:r>
    </w:p>
    <w:p w14:paraId="07ACB549" w14:textId="07B3685F" w:rsidR="003C724E" w:rsidRDefault="003C724E">
      <w:pPr>
        <w:rPr>
          <w:color w:val="000000" w:themeColor="text1"/>
        </w:rPr>
      </w:pPr>
    </w:p>
    <w:p w14:paraId="08B7B67E" w14:textId="606D4814" w:rsidR="003C724E" w:rsidRDefault="003C724E">
      <w:pPr>
        <w:rPr>
          <w:color w:val="000000" w:themeColor="text1"/>
        </w:rPr>
      </w:pPr>
      <w:r>
        <w:rPr>
          <w:color w:val="000000" w:themeColor="text1"/>
        </w:rPr>
        <w:t>Microtubule mutants</w:t>
      </w:r>
    </w:p>
    <w:p w14:paraId="5B732226" w14:textId="13792B73" w:rsidR="003C724E" w:rsidRPr="003C724E" w:rsidRDefault="003C724E">
      <w:pPr>
        <w:rPr>
          <w:color w:val="000000" w:themeColor="text1"/>
        </w:rPr>
      </w:pPr>
      <w:r>
        <w:rPr>
          <w:color w:val="000000" w:themeColor="text1"/>
        </w:rPr>
        <w:t xml:space="preserve">Whilst </w:t>
      </w:r>
    </w:p>
    <w:p w14:paraId="38227CDB" w14:textId="1E1CB30E" w:rsidR="00567EA7" w:rsidRDefault="00567EA7">
      <w:pPr>
        <w:rPr>
          <w:b/>
          <w:bCs/>
          <w:color w:val="0000CC"/>
        </w:rPr>
      </w:pPr>
    </w:p>
    <w:p w14:paraId="4E0DDD3A" w14:textId="04ECDC4E" w:rsidR="00567EA7" w:rsidRDefault="00567EA7">
      <w:pPr>
        <w:rPr>
          <w:b/>
          <w:bCs/>
          <w:color w:val="0000CC"/>
        </w:rPr>
      </w:pPr>
    </w:p>
    <w:p w14:paraId="0DCC54D6" w14:textId="68BA7B84" w:rsidR="00567EA7" w:rsidRDefault="00567EA7">
      <w:r>
        <w:rPr>
          <w:b/>
          <w:bCs/>
          <w:color w:val="0000CC"/>
        </w:rPr>
        <w:t>Discussion</w:t>
      </w:r>
    </w:p>
    <w:sectPr w:rsidR="00567EA7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94"/>
    <w:multiLevelType w:val="hybridMultilevel"/>
    <w:tmpl w:val="DA36D7DC"/>
    <w:lvl w:ilvl="0" w:tplc="FBDCE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A7"/>
    <w:rsid w:val="0009359B"/>
    <w:rsid w:val="00100BF8"/>
    <w:rsid w:val="00131B38"/>
    <w:rsid w:val="002170E4"/>
    <w:rsid w:val="00252DB7"/>
    <w:rsid w:val="0025480F"/>
    <w:rsid w:val="00281D4D"/>
    <w:rsid w:val="003256AB"/>
    <w:rsid w:val="003C724E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67EA7"/>
    <w:rsid w:val="00571055"/>
    <w:rsid w:val="005D37DD"/>
    <w:rsid w:val="00613ED3"/>
    <w:rsid w:val="00625F45"/>
    <w:rsid w:val="00642C2D"/>
    <w:rsid w:val="0066186F"/>
    <w:rsid w:val="00682193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044F"/>
    <w:rsid w:val="00941258"/>
    <w:rsid w:val="0095046D"/>
    <w:rsid w:val="009A464B"/>
    <w:rsid w:val="009C4895"/>
    <w:rsid w:val="009D284F"/>
    <w:rsid w:val="00AF5864"/>
    <w:rsid w:val="00B01922"/>
    <w:rsid w:val="00B05A3C"/>
    <w:rsid w:val="00C156B1"/>
    <w:rsid w:val="00C2610F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A452"/>
  <w14:defaultImageDpi w14:val="32767"/>
  <w15:chartTrackingRefBased/>
  <w15:docId w15:val="{843AEF7B-BAC6-3B42-9EC0-6D08FDA0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3</cp:revision>
  <dcterms:created xsi:type="dcterms:W3CDTF">2022-01-10T11:30:00Z</dcterms:created>
  <dcterms:modified xsi:type="dcterms:W3CDTF">2022-01-10T12:03:00Z</dcterms:modified>
</cp:coreProperties>
</file>