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E70C" w14:textId="463E0E59" w:rsidR="000B19F0" w:rsidRPr="000B19F0" w:rsidRDefault="000B19F0">
      <w:pPr>
        <w:rPr>
          <w:b/>
          <w:bCs/>
        </w:rPr>
      </w:pPr>
      <w:r w:rsidRPr="000B19F0">
        <w:rPr>
          <w:b/>
          <w:bCs/>
        </w:rPr>
        <w:t>Hirano 2005</w:t>
      </w:r>
    </w:p>
    <w:p w14:paraId="3B1CBBDF" w14:textId="77777777" w:rsidR="000B19F0" w:rsidRDefault="000B19F0" w:rsidP="000B19F0"/>
    <w:p w14:paraId="7FA06D9F" w14:textId="7E004E66" w:rsidR="000B19F0" w:rsidRDefault="00EC5120" w:rsidP="000B19F0">
      <w:r>
        <w:t>PAR-6 and PKC-3 interact via their PB1 domains</w:t>
      </w:r>
    </w:p>
    <w:p w14:paraId="648471CF" w14:textId="28906022" w:rsidR="000B19F0" w:rsidRDefault="000B19F0" w:rsidP="000B19F0"/>
    <w:p w14:paraId="45C4C36E" w14:textId="77777777" w:rsidR="00B66C08" w:rsidRDefault="00B66C08" w:rsidP="000B19F0"/>
    <w:p w14:paraId="3F24DEE6" w14:textId="3C4E72A1" w:rsidR="000B19F0" w:rsidRPr="000B19F0" w:rsidRDefault="000B19F0" w:rsidP="00B66C08">
      <w:pPr>
        <w:rPr>
          <w:b/>
          <w:bCs/>
        </w:rPr>
      </w:pPr>
      <w:r w:rsidRPr="000B19F0">
        <w:rPr>
          <w:b/>
          <w:bCs/>
        </w:rPr>
        <w:t>Beers 2006</w:t>
      </w:r>
    </w:p>
    <w:p w14:paraId="5B75347F" w14:textId="77777777" w:rsidR="007A3F64" w:rsidRDefault="007A3F64" w:rsidP="000B19F0"/>
    <w:p w14:paraId="15FDBA96" w14:textId="001FA210" w:rsidR="000B19F0" w:rsidRDefault="005A37CB" w:rsidP="000B19F0">
      <w:r w:rsidRPr="005A37CB">
        <w:t xml:space="preserve">PAR-6/PKC-3 associate to the </w:t>
      </w:r>
      <w:proofErr w:type="spellStart"/>
      <w:r w:rsidR="007A3F64">
        <w:t>córtex</w:t>
      </w:r>
      <w:proofErr w:type="spellEnd"/>
      <w:r w:rsidR="007A3F64">
        <w:t xml:space="preserve"> in two ways: one mode via PAR-3 and one mode via CDC-42</w:t>
      </w:r>
    </w:p>
    <w:p w14:paraId="589901D3" w14:textId="00E7D679" w:rsidR="007A3F64" w:rsidRDefault="007A3F64" w:rsidP="000B19F0"/>
    <w:p w14:paraId="591B8126" w14:textId="11282957" w:rsidR="007A3F64" w:rsidRDefault="007A3F64" w:rsidP="000B19F0">
      <w:r>
        <w:t xml:space="preserve">Cdc-37 RNAi allows PAR-6 to bind to the cortex in the absence of PAR-3 and without PKC-3. </w:t>
      </w:r>
      <w:r w:rsidR="00EC5120">
        <w:t xml:space="preserve">This depends </w:t>
      </w:r>
      <w:proofErr w:type="gramStart"/>
      <w:r w:rsidR="00EC5120">
        <w:t>of</w:t>
      </w:r>
      <w:proofErr w:type="gramEnd"/>
      <w:r w:rsidR="00EC5120">
        <w:t xml:space="preserve"> CDC42. </w:t>
      </w:r>
      <w:r>
        <w:t>However, PKC-3 doesn’t bind without PAR-6.</w:t>
      </w:r>
    </w:p>
    <w:p w14:paraId="5FFCAC42" w14:textId="7B694BDF" w:rsidR="007A3F64" w:rsidRDefault="007A3F64" w:rsidP="000B19F0"/>
    <w:p w14:paraId="1190996F" w14:textId="31AE2073" w:rsidR="007A3F64" w:rsidRPr="005A37CB" w:rsidRDefault="007A3F64" w:rsidP="000B19F0">
      <w:r>
        <w:t>Interestingly in cdc-37 RNAi PAR-6 shows ‘pericentriolar accumulation’ that looks a lot like PAR-2 GCN4</w:t>
      </w:r>
    </w:p>
    <w:p w14:paraId="0B0E0BD5" w14:textId="6D83A581" w:rsidR="000B19F0" w:rsidRDefault="000B19F0" w:rsidP="000B19F0"/>
    <w:p w14:paraId="6E7145EA" w14:textId="7A7B0078" w:rsidR="00EC5120" w:rsidRDefault="00EC5120" w:rsidP="000B19F0">
      <w:r>
        <w:t>Reduction in pkc-3 levels in cdc37 RNAi</w:t>
      </w:r>
    </w:p>
    <w:p w14:paraId="6CA42962" w14:textId="06CA8484" w:rsidR="00EC5120" w:rsidRDefault="00EC5120" w:rsidP="000B19F0"/>
    <w:p w14:paraId="224A6158" w14:textId="0CF717DD" w:rsidR="00B66C08" w:rsidRDefault="00B66C08" w:rsidP="000B19F0"/>
    <w:p w14:paraId="7E5B2EA1" w14:textId="79A3A241" w:rsidR="007F44D3" w:rsidRPr="007F44D3" w:rsidRDefault="007F44D3" w:rsidP="000B19F0">
      <w:pPr>
        <w:rPr>
          <w:b/>
          <w:bCs/>
        </w:rPr>
      </w:pPr>
      <w:proofErr w:type="spellStart"/>
      <w:r w:rsidRPr="007F44D3">
        <w:rPr>
          <w:b/>
          <w:bCs/>
        </w:rPr>
        <w:t>Aceto</w:t>
      </w:r>
      <w:proofErr w:type="spellEnd"/>
      <w:r w:rsidRPr="007F44D3">
        <w:rPr>
          <w:b/>
          <w:bCs/>
        </w:rPr>
        <w:t xml:space="preserve"> 2006</w:t>
      </w:r>
    </w:p>
    <w:p w14:paraId="15949F9C" w14:textId="77777777" w:rsidR="007F44D3" w:rsidRDefault="007F44D3" w:rsidP="000B19F0"/>
    <w:p w14:paraId="54D40052" w14:textId="6C7F4564" w:rsidR="007F44D3" w:rsidRDefault="00D57862" w:rsidP="000B19F0">
      <w:r>
        <w:t>PAR-6 interacts with CDC42 via a semi-CRIB domain. This interaction is essential for normal PAR-6 localisation. Lower levels and more punctate in mutant. Seems to resemble PAR-3 distribution. Does this look the same as a cdc42 mutant?</w:t>
      </w:r>
    </w:p>
    <w:p w14:paraId="2221F179" w14:textId="77777777" w:rsidR="007F44D3" w:rsidRDefault="007F44D3" w:rsidP="000B19F0"/>
    <w:p w14:paraId="75107443" w14:textId="659E2B22" w:rsidR="009949C8" w:rsidRPr="009949C8" w:rsidRDefault="009949C8" w:rsidP="000B19F0">
      <w:pPr>
        <w:rPr>
          <w:b/>
          <w:bCs/>
        </w:rPr>
      </w:pPr>
      <w:r w:rsidRPr="009949C8">
        <w:rPr>
          <w:b/>
          <w:bCs/>
        </w:rPr>
        <w:t>Li 2010a</w:t>
      </w:r>
    </w:p>
    <w:p w14:paraId="75EDC5E2" w14:textId="7FE99562" w:rsidR="009949C8" w:rsidRDefault="009949C8" w:rsidP="000B19F0"/>
    <w:p w14:paraId="3F14CF3B" w14:textId="2E6861E4" w:rsidR="009949C8" w:rsidRDefault="00DC47E7" w:rsidP="000B19F0">
      <w:r>
        <w:t>PAR-6 interacts with PAR-3 via the PDZ1 domain of PAR-3 and the PDZ domain of PAR-6. However, this interaction doesn’t appear to play an essential role in vivo, as mutations to this domain which disrupt the interaction in vitro have no effect on PAR-6 localisation in vivo (localises to puncta as normal)</w:t>
      </w:r>
    </w:p>
    <w:p w14:paraId="7F45A4A6" w14:textId="77777777" w:rsidR="009949C8" w:rsidRPr="005A37CB" w:rsidRDefault="009949C8" w:rsidP="000B19F0"/>
    <w:p w14:paraId="50F3990D" w14:textId="3773B8AC" w:rsidR="000B19F0" w:rsidRPr="00DC47E7" w:rsidRDefault="000B19F0" w:rsidP="000B19F0">
      <w:pPr>
        <w:rPr>
          <w:b/>
          <w:bCs/>
        </w:rPr>
      </w:pPr>
      <w:r w:rsidRPr="00DC47E7">
        <w:rPr>
          <w:b/>
          <w:bCs/>
        </w:rPr>
        <w:t>Li 2010</w:t>
      </w:r>
      <w:r w:rsidR="009949C8" w:rsidRPr="00DC47E7">
        <w:rPr>
          <w:b/>
          <w:bCs/>
        </w:rPr>
        <w:t>b</w:t>
      </w:r>
    </w:p>
    <w:p w14:paraId="5A0E16F7" w14:textId="77777777" w:rsidR="000B19F0" w:rsidRPr="00DC47E7" w:rsidRDefault="000B19F0" w:rsidP="000B19F0"/>
    <w:p w14:paraId="67CE680C" w14:textId="45ED30BE" w:rsidR="000B19F0" w:rsidRPr="009949C8" w:rsidRDefault="009949C8" w:rsidP="000B19F0">
      <w:r w:rsidRPr="009949C8">
        <w:t xml:space="preserve">PAR-3 lacking PDZ2 retains weak ability to </w:t>
      </w:r>
      <w:r>
        <w:t>localise to the cortex, but cannot recruit PAR-6 and PKC-3, perhaps suggesting a concentration-dependent threshold for recruitment, or a direct role for PDZ2</w:t>
      </w:r>
    </w:p>
    <w:p w14:paraId="01CDE2CF" w14:textId="77777777" w:rsidR="009949C8" w:rsidRPr="009949C8" w:rsidRDefault="009949C8" w:rsidP="000B19F0"/>
    <w:p w14:paraId="19553B85" w14:textId="6BB049CB" w:rsidR="000B19F0" w:rsidRDefault="00B21670" w:rsidP="000B19F0">
      <w:r>
        <w:t>Mutants lacking the c-terminal region have lower membrane affinity</w:t>
      </w:r>
    </w:p>
    <w:p w14:paraId="650BD8BF" w14:textId="02D81772" w:rsidR="00B21670" w:rsidRDefault="00B21670" w:rsidP="000B19F0"/>
    <w:p w14:paraId="37082AB6" w14:textId="2BF24F22" w:rsidR="00C24072" w:rsidRDefault="00C24072" w:rsidP="000B19F0"/>
    <w:p w14:paraId="09D2A724" w14:textId="7162D71C" w:rsidR="007D298C" w:rsidRDefault="007D298C" w:rsidP="000B19F0"/>
    <w:p w14:paraId="77E32E80" w14:textId="617BE2E7" w:rsidR="007D298C" w:rsidRDefault="007D298C" w:rsidP="000B19F0"/>
    <w:p w14:paraId="68BCA23D" w14:textId="27A8F4B3" w:rsidR="007D298C" w:rsidRDefault="007D298C" w:rsidP="000B19F0"/>
    <w:p w14:paraId="17C03825" w14:textId="443690FF" w:rsidR="007D298C" w:rsidRDefault="007D298C" w:rsidP="000B19F0"/>
    <w:p w14:paraId="7C657142" w14:textId="5AB6DD06" w:rsidR="007D298C" w:rsidRDefault="007D298C" w:rsidP="000B19F0"/>
    <w:p w14:paraId="344A0653" w14:textId="77777777" w:rsidR="007D298C" w:rsidRDefault="007D298C" w:rsidP="000B19F0"/>
    <w:p w14:paraId="1576E0E4" w14:textId="54CE2115" w:rsidR="00C24072" w:rsidRPr="003C0AE9" w:rsidRDefault="00C24072" w:rsidP="000B19F0">
      <w:pPr>
        <w:rPr>
          <w:b/>
          <w:bCs/>
          <w:lang w:val="es-ES"/>
        </w:rPr>
      </w:pPr>
      <w:r w:rsidRPr="003C0AE9">
        <w:rPr>
          <w:b/>
          <w:bCs/>
          <w:lang w:val="es-ES"/>
        </w:rPr>
        <w:lastRenderedPageBreak/>
        <w:t>Soriano 2016</w:t>
      </w:r>
    </w:p>
    <w:p w14:paraId="7CDAA209" w14:textId="4F5B47BC" w:rsidR="00B21670" w:rsidRPr="003C0AE9" w:rsidRDefault="00B21670" w:rsidP="000B19F0">
      <w:pPr>
        <w:rPr>
          <w:lang w:val="es-ES"/>
        </w:rPr>
      </w:pPr>
    </w:p>
    <w:p w14:paraId="7BDBC9F1" w14:textId="16E15B26" w:rsidR="00C24072" w:rsidRDefault="00C24072" w:rsidP="000B19F0">
      <w:pPr>
        <w:rPr>
          <w:lang w:val="es-ES"/>
        </w:rPr>
      </w:pPr>
    </w:p>
    <w:p w14:paraId="5C8A9200" w14:textId="1EBF87DC" w:rsidR="007D298C" w:rsidRDefault="007D298C" w:rsidP="007D298C">
      <w:r>
        <w:t>PAR-3 has a consensus PKC-3 phosphorylation site in the CR</w:t>
      </w:r>
      <w:r w:rsidR="00441F1B">
        <w:t>3</w:t>
      </w:r>
      <w:r>
        <w:t xml:space="preserve"> domain (</w:t>
      </w:r>
      <w:proofErr w:type="spellStart"/>
      <w:r>
        <w:t>RXSpsi</w:t>
      </w:r>
      <w:proofErr w:type="spellEnd"/>
      <w:r>
        <w:t>)</w:t>
      </w:r>
    </w:p>
    <w:p w14:paraId="4B0FF42C" w14:textId="77777777" w:rsidR="007D298C" w:rsidRDefault="007D298C" w:rsidP="007D298C"/>
    <w:p w14:paraId="3E172496" w14:textId="77777777" w:rsidR="007D298C" w:rsidRDefault="007D298C" w:rsidP="007D298C">
      <w:r>
        <w:t>The phosphorylation site engages the pocket and provides a high affinity anchor point</w:t>
      </w:r>
    </w:p>
    <w:p w14:paraId="18E357DA" w14:textId="77777777" w:rsidR="007D298C" w:rsidRDefault="007D298C" w:rsidP="007D298C"/>
    <w:p w14:paraId="64ADF300" w14:textId="77777777" w:rsidR="007D298C" w:rsidRDefault="007D298C" w:rsidP="007D298C">
      <w:r>
        <w:t>PAR-3 binds to and strongly inhibits the catalytic activity of PKC-3</w:t>
      </w:r>
    </w:p>
    <w:p w14:paraId="5E726EBC" w14:textId="670F0965" w:rsidR="007D298C" w:rsidRPr="007D298C" w:rsidRDefault="007D298C" w:rsidP="000B19F0"/>
    <w:p w14:paraId="46E8657F" w14:textId="09FEF8C7" w:rsidR="007D298C" w:rsidRDefault="005F10B5" w:rsidP="000B19F0">
      <w:proofErr w:type="spellStart"/>
      <w:r>
        <w:t>FxR</w:t>
      </w:r>
      <w:proofErr w:type="spellEnd"/>
      <w:r>
        <w:t xml:space="preserve"> motif binds to </w:t>
      </w:r>
      <w:proofErr w:type="gramStart"/>
      <w:r>
        <w:t>PKC</w:t>
      </w:r>
      <w:proofErr w:type="gramEnd"/>
      <w:r>
        <w:t xml:space="preserve"> but this doesn’t perturb the </w:t>
      </w:r>
      <w:proofErr w:type="spellStart"/>
      <w:r>
        <w:t>aPKC</w:t>
      </w:r>
      <w:proofErr w:type="spellEnd"/>
      <w:r>
        <w:t xml:space="preserve"> catalytic residues</w:t>
      </w:r>
    </w:p>
    <w:p w14:paraId="177FB2FD" w14:textId="77777777" w:rsidR="005F10B5" w:rsidRPr="007D298C" w:rsidRDefault="005F10B5" w:rsidP="000B19F0"/>
    <w:p w14:paraId="3C87E300" w14:textId="4954202A" w:rsidR="00C24072" w:rsidRDefault="005F10B5" w:rsidP="000B19F0">
      <w:r>
        <w:t xml:space="preserve">Inhibitory arm of PAR-3 C-terminal of the </w:t>
      </w:r>
      <w:proofErr w:type="spellStart"/>
      <w:r>
        <w:t>pho</w:t>
      </w:r>
      <w:r w:rsidR="00B20F04">
        <w:t>sphoacceptor</w:t>
      </w:r>
      <w:proofErr w:type="spellEnd"/>
      <w:r w:rsidR="00B20F04">
        <w:t xml:space="preserve"> site. </w:t>
      </w:r>
      <w:proofErr w:type="spellStart"/>
      <w:r w:rsidR="00B20F04">
        <w:t>Abbility</w:t>
      </w:r>
      <w:proofErr w:type="spellEnd"/>
      <w:r w:rsidR="00B20F04">
        <w:t xml:space="preserve"> of this arm to bind to PKC-3 influences whether Par3 can inhibit PKC-3 or act as a substrate. They predict that the inhibitory arm could be modulated by phosphorylation by ROCK kinase, or that changes at the level of PKC-3 which influence accessibility of the pocket.</w:t>
      </w:r>
    </w:p>
    <w:p w14:paraId="69D10726" w14:textId="3B62BF67" w:rsidR="005F10B5" w:rsidRDefault="005F10B5" w:rsidP="000B19F0"/>
    <w:p w14:paraId="23DD8BE9" w14:textId="054D21FF" w:rsidR="00BF7035" w:rsidRDefault="00B20F04" w:rsidP="00BF7035">
      <w:proofErr w:type="spellStart"/>
      <w:r>
        <w:t>AxA</w:t>
      </w:r>
      <w:proofErr w:type="spellEnd"/>
      <w:r>
        <w:t xml:space="preserve"> mutation massively enhances </w:t>
      </w:r>
      <w:proofErr w:type="spellStart"/>
      <w:r>
        <w:t>kcat</w:t>
      </w:r>
      <w:proofErr w:type="spellEnd"/>
      <w:r>
        <w:t xml:space="preserve"> </w:t>
      </w:r>
      <w:r w:rsidR="002E0759">
        <w:t xml:space="preserve">in in vitro kinase assays. The authors suggest that this may indicate that this is due to weaker substrate binding and therefore weaker engagement of the </w:t>
      </w:r>
      <w:r w:rsidR="00BF7035">
        <w:t xml:space="preserve">inhibitory arm. </w:t>
      </w:r>
      <w:r w:rsidR="00BF7035">
        <w:t xml:space="preserve">However, this </w:t>
      </w:r>
      <w:proofErr w:type="gramStart"/>
      <w:r w:rsidR="00BF7035">
        <w:t>look</w:t>
      </w:r>
      <w:proofErr w:type="gramEnd"/>
      <w:r w:rsidR="00BF7035">
        <w:t xml:space="preserve"> remarkably similar for PAR-2, which doesn’t have the inhibitory arm.</w:t>
      </w:r>
    </w:p>
    <w:p w14:paraId="5899EB1D" w14:textId="77777777" w:rsidR="00BF7035" w:rsidRDefault="00BF7035" w:rsidP="00BF7035"/>
    <w:p w14:paraId="72F777B4" w14:textId="732A4449" w:rsidR="00BF7035" w:rsidRDefault="00BF7035" w:rsidP="00BF7035">
      <w:r>
        <w:t>Mutation of the inhibitory arm on top of this renders it not phosphorylated at all. Essentially, regardless of which sites are engaging with PKC, if the engagement is too tight then it’s an inhibitor. Intermediate then it’s a good substrate.</w:t>
      </w:r>
    </w:p>
    <w:p w14:paraId="7CAB72BF" w14:textId="585E1246" w:rsidR="00BF7035" w:rsidRDefault="00BF7035" w:rsidP="00BF7035"/>
    <w:p w14:paraId="2BEFFA99" w14:textId="5A86FB95" w:rsidR="00BF7035" w:rsidRDefault="00BF7035" w:rsidP="00BF7035">
      <w:r>
        <w:t>The phosphorylated product has a much lower affinity for PKC-3, indicating that this isn’t a failure to disengage with the product after phosphorylation.</w:t>
      </w:r>
    </w:p>
    <w:p w14:paraId="7CB00E60" w14:textId="77777777" w:rsidR="00BF7035" w:rsidRDefault="00BF7035" w:rsidP="00BF7035"/>
    <w:p w14:paraId="581F4125" w14:textId="34DF9EEF" w:rsidR="00BF7035" w:rsidRDefault="00BF7035" w:rsidP="00BF7035">
      <w:r>
        <w:t>A non-</w:t>
      </w:r>
      <w:proofErr w:type="spellStart"/>
      <w:r>
        <w:t>phosphorylatable</w:t>
      </w:r>
      <w:proofErr w:type="spellEnd"/>
      <w:r>
        <w:t xml:space="preserve"> form binds as normal to PAR-3 but is unable to be turned over and remains tightly associated</w:t>
      </w:r>
    </w:p>
    <w:p w14:paraId="70DAB857" w14:textId="6931B33A" w:rsidR="00BF7035" w:rsidRDefault="00BF7035" w:rsidP="00BF7035"/>
    <w:p w14:paraId="2E4127E0" w14:textId="77777777" w:rsidR="00441F1B" w:rsidRDefault="00441F1B" w:rsidP="00BF7035"/>
    <w:p w14:paraId="0FCC53B1" w14:textId="77777777" w:rsidR="00B20F04" w:rsidRPr="007D298C" w:rsidRDefault="00B20F04" w:rsidP="000B19F0"/>
    <w:p w14:paraId="30232FF5" w14:textId="747A77DC" w:rsidR="000B19F0" w:rsidRPr="003C0AE9" w:rsidRDefault="000B19F0" w:rsidP="000B19F0">
      <w:pPr>
        <w:rPr>
          <w:b/>
          <w:bCs/>
          <w:lang w:val="es-ES"/>
        </w:rPr>
      </w:pPr>
      <w:proofErr w:type="spellStart"/>
      <w:r w:rsidRPr="003C0AE9">
        <w:rPr>
          <w:b/>
          <w:bCs/>
          <w:lang w:val="es-ES"/>
        </w:rPr>
        <w:t>Rodriguez</w:t>
      </w:r>
      <w:proofErr w:type="spellEnd"/>
      <w:r w:rsidRPr="003C0AE9">
        <w:rPr>
          <w:b/>
          <w:bCs/>
          <w:lang w:val="es-ES"/>
        </w:rPr>
        <w:t xml:space="preserve"> 2017</w:t>
      </w:r>
    </w:p>
    <w:p w14:paraId="242984A0" w14:textId="77777777" w:rsidR="000B19F0" w:rsidRPr="003C0AE9" w:rsidRDefault="000B19F0" w:rsidP="000B19F0">
      <w:pPr>
        <w:rPr>
          <w:lang w:val="es-ES"/>
        </w:rPr>
      </w:pPr>
    </w:p>
    <w:p w14:paraId="74253517" w14:textId="04361002" w:rsidR="000B19F0" w:rsidRPr="003C0AE9" w:rsidRDefault="00C24072" w:rsidP="000B19F0">
      <w:pPr>
        <w:rPr>
          <w:b/>
          <w:bCs/>
          <w:lang w:val="es-ES"/>
        </w:rPr>
      </w:pPr>
      <w:proofErr w:type="spellStart"/>
      <w:r w:rsidRPr="003C0AE9">
        <w:rPr>
          <w:b/>
          <w:bCs/>
          <w:lang w:val="es-ES"/>
        </w:rPr>
        <w:t>Dickinson</w:t>
      </w:r>
      <w:proofErr w:type="spellEnd"/>
      <w:r w:rsidRPr="003C0AE9">
        <w:rPr>
          <w:b/>
          <w:bCs/>
          <w:lang w:val="es-ES"/>
        </w:rPr>
        <w:t xml:space="preserve"> 2017</w:t>
      </w:r>
    </w:p>
    <w:p w14:paraId="6C86AC7B" w14:textId="568101D0" w:rsidR="00C24072" w:rsidRDefault="00C24072" w:rsidP="000B19F0">
      <w:pPr>
        <w:rPr>
          <w:lang w:val="es-ES"/>
        </w:rPr>
      </w:pPr>
    </w:p>
    <w:p w14:paraId="2E2F5B6F" w14:textId="77777777" w:rsidR="003C0AE9" w:rsidRPr="003C0AE9" w:rsidRDefault="003C0AE9" w:rsidP="000B19F0">
      <w:pPr>
        <w:rPr>
          <w:lang w:val="es-ES"/>
        </w:rPr>
      </w:pPr>
    </w:p>
    <w:p w14:paraId="4B1EAF6C" w14:textId="3C24453D" w:rsidR="003C0AE9" w:rsidRPr="003C0AE9" w:rsidRDefault="003C0AE9" w:rsidP="000B19F0">
      <w:pPr>
        <w:rPr>
          <w:b/>
          <w:bCs/>
          <w:lang w:val="es-ES"/>
        </w:rPr>
      </w:pPr>
      <w:r w:rsidRPr="003C0AE9">
        <w:rPr>
          <w:b/>
          <w:bCs/>
          <w:lang w:val="es-ES"/>
        </w:rPr>
        <w:t>Wang 2017</w:t>
      </w:r>
    </w:p>
    <w:p w14:paraId="1661FB0F" w14:textId="69D3871D" w:rsidR="000B19F0" w:rsidRDefault="000B19F0" w:rsidP="000B19F0">
      <w:pPr>
        <w:rPr>
          <w:lang w:val="es-ES"/>
        </w:rPr>
      </w:pPr>
    </w:p>
    <w:p w14:paraId="72F362E9" w14:textId="77777777" w:rsidR="003C0AE9" w:rsidRPr="003C0AE9" w:rsidRDefault="003C0AE9" w:rsidP="000B19F0">
      <w:pPr>
        <w:rPr>
          <w:lang w:val="es-ES"/>
        </w:rPr>
      </w:pPr>
    </w:p>
    <w:p w14:paraId="1972E724" w14:textId="5272BA4D" w:rsidR="000B19F0" w:rsidRPr="003C0AE9" w:rsidRDefault="000B19F0" w:rsidP="000B19F0">
      <w:pPr>
        <w:rPr>
          <w:b/>
          <w:bCs/>
          <w:lang w:val="es-ES"/>
        </w:rPr>
      </w:pPr>
      <w:r w:rsidRPr="003C0AE9">
        <w:rPr>
          <w:b/>
          <w:bCs/>
          <w:lang w:val="es-ES"/>
        </w:rPr>
        <w:t>Dong 2020</w:t>
      </w:r>
    </w:p>
    <w:p w14:paraId="55B941F9" w14:textId="77777777" w:rsidR="000B19F0" w:rsidRPr="003C0AE9" w:rsidRDefault="000B19F0">
      <w:pPr>
        <w:rPr>
          <w:lang w:val="es-ES"/>
        </w:rPr>
      </w:pPr>
    </w:p>
    <w:p w14:paraId="37C9EA17" w14:textId="005038AC" w:rsidR="000B19F0" w:rsidRDefault="000B19F0">
      <w:pPr>
        <w:rPr>
          <w:lang w:val="es-ES"/>
        </w:rPr>
      </w:pPr>
    </w:p>
    <w:p w14:paraId="209AC0A7" w14:textId="6BDD99EA" w:rsidR="007D298C" w:rsidRDefault="007D298C">
      <w:pPr>
        <w:rPr>
          <w:lang w:val="es-ES"/>
        </w:rPr>
      </w:pPr>
    </w:p>
    <w:p w14:paraId="58442F4A" w14:textId="4504D1E3" w:rsidR="00EB4A38" w:rsidRDefault="00EB4A38" w:rsidP="00EB4A38"/>
    <w:p w14:paraId="64F4C635" w14:textId="1D64C9CE" w:rsidR="002E0759" w:rsidRDefault="002E0759" w:rsidP="00EB4A38"/>
    <w:p w14:paraId="32B88813" w14:textId="77777777" w:rsidR="002E0759" w:rsidRDefault="002E0759" w:rsidP="002E0759">
      <w:pPr>
        <w:pStyle w:val="ListParagraph"/>
      </w:pPr>
    </w:p>
    <w:p w14:paraId="5052816A" w14:textId="6688F5AE" w:rsidR="002E0759" w:rsidRPr="007D298C" w:rsidRDefault="002E0759" w:rsidP="002E0759"/>
    <w:sectPr w:rsidR="002E0759" w:rsidRPr="007D298C"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64FC8"/>
    <w:multiLevelType w:val="hybridMultilevel"/>
    <w:tmpl w:val="2B9A1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F0"/>
    <w:rsid w:val="0009359B"/>
    <w:rsid w:val="000B19F0"/>
    <w:rsid w:val="00100BF8"/>
    <w:rsid w:val="00131B38"/>
    <w:rsid w:val="002170E4"/>
    <w:rsid w:val="0025480F"/>
    <w:rsid w:val="00281D4D"/>
    <w:rsid w:val="002E0759"/>
    <w:rsid w:val="003256AB"/>
    <w:rsid w:val="003C0AE9"/>
    <w:rsid w:val="003C3072"/>
    <w:rsid w:val="003D3A4F"/>
    <w:rsid w:val="00401772"/>
    <w:rsid w:val="004143EC"/>
    <w:rsid w:val="00420522"/>
    <w:rsid w:val="00427675"/>
    <w:rsid w:val="00440147"/>
    <w:rsid w:val="00441F1B"/>
    <w:rsid w:val="004425BF"/>
    <w:rsid w:val="004627F3"/>
    <w:rsid w:val="004821CA"/>
    <w:rsid w:val="00495343"/>
    <w:rsid w:val="00556AF7"/>
    <w:rsid w:val="00571055"/>
    <w:rsid w:val="005A37CB"/>
    <w:rsid w:val="005D37DD"/>
    <w:rsid w:val="005F10B5"/>
    <w:rsid w:val="00613ED3"/>
    <w:rsid w:val="00625F45"/>
    <w:rsid w:val="0066186F"/>
    <w:rsid w:val="00682193"/>
    <w:rsid w:val="006E603D"/>
    <w:rsid w:val="006F1FA4"/>
    <w:rsid w:val="006F422F"/>
    <w:rsid w:val="007502D2"/>
    <w:rsid w:val="007A3F64"/>
    <w:rsid w:val="007D298C"/>
    <w:rsid w:val="007F44D3"/>
    <w:rsid w:val="00834D43"/>
    <w:rsid w:val="00835137"/>
    <w:rsid w:val="0084130D"/>
    <w:rsid w:val="008B1233"/>
    <w:rsid w:val="008C4ABF"/>
    <w:rsid w:val="00932FD1"/>
    <w:rsid w:val="00941258"/>
    <w:rsid w:val="0095046D"/>
    <w:rsid w:val="009949C8"/>
    <w:rsid w:val="009A464B"/>
    <w:rsid w:val="009C4895"/>
    <w:rsid w:val="009D284F"/>
    <w:rsid w:val="00AF5864"/>
    <w:rsid w:val="00B01922"/>
    <w:rsid w:val="00B05A3C"/>
    <w:rsid w:val="00B20F04"/>
    <w:rsid w:val="00B21670"/>
    <w:rsid w:val="00B66C08"/>
    <w:rsid w:val="00BF7035"/>
    <w:rsid w:val="00C24072"/>
    <w:rsid w:val="00C2610F"/>
    <w:rsid w:val="00C55C96"/>
    <w:rsid w:val="00CD4690"/>
    <w:rsid w:val="00D57862"/>
    <w:rsid w:val="00D76737"/>
    <w:rsid w:val="00DA0883"/>
    <w:rsid w:val="00DA0E47"/>
    <w:rsid w:val="00DC47E7"/>
    <w:rsid w:val="00DD1B22"/>
    <w:rsid w:val="00EB290E"/>
    <w:rsid w:val="00EB4A38"/>
    <w:rsid w:val="00EC5120"/>
    <w:rsid w:val="00EF13D5"/>
    <w:rsid w:val="00F35180"/>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A565AD"/>
  <w14:defaultImageDpi w14:val="32767"/>
  <w15:chartTrackingRefBased/>
  <w15:docId w15:val="{DF53729B-9032-1E4A-A39C-0336EBE1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5</cp:revision>
  <dcterms:created xsi:type="dcterms:W3CDTF">2021-12-02T10:05:00Z</dcterms:created>
  <dcterms:modified xsi:type="dcterms:W3CDTF">2021-12-02T17:38:00Z</dcterms:modified>
</cp:coreProperties>
</file>