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5773F" w14:textId="503D7B76" w:rsidR="001C0900" w:rsidRDefault="000F20C4" w:rsidP="000F20C4">
      <w:pPr>
        <w:jc w:val="center"/>
        <w:rPr>
          <w:b/>
          <w:bCs/>
        </w:rPr>
      </w:pPr>
      <w:r w:rsidRPr="000F20C4">
        <w:rPr>
          <w:b/>
          <w:bCs/>
        </w:rPr>
        <w:t>Grants Management Reports Solutions</w:t>
      </w:r>
    </w:p>
    <w:p w14:paraId="61B62B91" w14:textId="756B359E" w:rsidR="000F20C4" w:rsidRDefault="000F20C4" w:rsidP="000F20C4"/>
    <w:p w14:paraId="2CF4EA2E" w14:textId="3FF3CB24" w:rsidR="000F20C4" w:rsidRDefault="000F20C4" w:rsidP="000F20C4">
      <w:r>
        <w:t>1. Overview: The purpose of the Grants Management Report Solution (GMRS)</w:t>
      </w:r>
    </w:p>
    <w:p w14:paraId="4449BC5F" w14:textId="06C4FE72" w:rsidR="000F20C4" w:rsidRDefault="000F20C4" w:rsidP="000F20C4">
      <w:r>
        <w:t>2. Solution Components:</w:t>
      </w:r>
    </w:p>
    <w:p w14:paraId="4E621123" w14:textId="5906AC65" w:rsidR="000F20C4" w:rsidRDefault="000F20C4" w:rsidP="000F20C4">
      <w:r>
        <w:tab/>
        <w:t>a. Google Big Query</w:t>
      </w:r>
    </w:p>
    <w:p w14:paraId="70108C4F" w14:textId="730B8D01" w:rsidR="000F20C4" w:rsidRDefault="000F20C4" w:rsidP="000F20C4">
      <w:r>
        <w:tab/>
        <w:t xml:space="preserve">b. Google Data </w:t>
      </w:r>
      <w:r w:rsidR="003B2430">
        <w:t>Studio Report</w:t>
      </w:r>
    </w:p>
    <w:p w14:paraId="1D2D6244" w14:textId="762278B7" w:rsidR="003B2430" w:rsidRDefault="003B2430" w:rsidP="000F20C4">
      <w:r>
        <w:tab/>
        <w:t>c. Google Data Studio Report Scheduled Email Delivery</w:t>
      </w:r>
    </w:p>
    <w:p w14:paraId="237DFDDE" w14:textId="5F688891" w:rsidR="00A16BE8" w:rsidRDefault="00A16BE8" w:rsidP="00A16BE8">
      <w:pPr>
        <w:ind w:firstLine="720"/>
      </w:pPr>
      <w:r>
        <w:t>d</w:t>
      </w:r>
      <w:r>
        <w:t>. Outlook 365 Shared Inbox</w:t>
      </w:r>
    </w:p>
    <w:p w14:paraId="17535CE9" w14:textId="43BF0B38" w:rsidR="003B2430" w:rsidRDefault="003B2430" w:rsidP="000F20C4">
      <w:r>
        <w:tab/>
      </w:r>
      <w:r w:rsidR="00EE1D53">
        <w:t>e</w:t>
      </w:r>
      <w:r>
        <w:t xml:space="preserve">. </w:t>
      </w:r>
      <w:r w:rsidR="00B803F8">
        <w:t>Power Automate Workflow</w:t>
      </w:r>
    </w:p>
    <w:p w14:paraId="749C9883" w14:textId="0ADE9D16" w:rsidR="00EE1D53" w:rsidRDefault="00B803F8" w:rsidP="00EE1D53">
      <w:r>
        <w:tab/>
      </w:r>
      <w:r w:rsidR="00EE1D53">
        <w:t>f</w:t>
      </w:r>
      <w:r w:rsidR="00EE1D53">
        <w:t>. SharePoint Online Report Library</w:t>
      </w:r>
    </w:p>
    <w:p w14:paraId="11213E48" w14:textId="27F24735" w:rsidR="00E75D06" w:rsidRDefault="00E75D06" w:rsidP="000F20C4">
      <w:r>
        <w:t>3. Architectural View:</w:t>
      </w:r>
    </w:p>
    <w:p w14:paraId="034176AA" w14:textId="39B18C89" w:rsidR="00D91E6E" w:rsidRDefault="003644FE" w:rsidP="000F20C4">
      <w:r>
        <w:rPr>
          <w:noProof/>
        </w:rPr>
        <w:drawing>
          <wp:inline distT="0" distB="0" distL="0" distR="0" wp14:anchorId="218643FB" wp14:editId="209FA3D3">
            <wp:extent cx="5190409" cy="1158230"/>
            <wp:effectExtent l="19050" t="19050" r="10795" b="234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3924" cy="11679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7971430" w14:textId="75406145" w:rsidR="00CB3687" w:rsidRDefault="00CB3687" w:rsidP="00E75D06">
      <w:r>
        <w:t>4. Process Flow:</w:t>
      </w:r>
    </w:p>
    <w:p w14:paraId="41E07BC4" w14:textId="7F812CA2" w:rsidR="003D6312" w:rsidRDefault="005E0A29" w:rsidP="00E75D06">
      <w:r>
        <w:rPr>
          <w:noProof/>
        </w:rPr>
        <w:drawing>
          <wp:inline distT="0" distB="0" distL="0" distR="0" wp14:anchorId="199A2DED" wp14:editId="442DC835">
            <wp:extent cx="5194716" cy="1587756"/>
            <wp:effectExtent l="19050" t="19050" r="25400" b="1270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0161" cy="160164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1130D5F" w14:textId="4F3246AB" w:rsidR="00E75D06" w:rsidRDefault="00556C4E" w:rsidP="00E75D06">
      <w:r>
        <w:t>5</w:t>
      </w:r>
      <w:r w:rsidR="00E75D06">
        <w:t>. Google Big Query</w:t>
      </w:r>
      <w:r w:rsidR="003D6312">
        <w:t>:</w:t>
      </w:r>
    </w:p>
    <w:p w14:paraId="5DAFE4F7" w14:textId="5BECF23C" w:rsidR="00367EEF" w:rsidRDefault="00367EEF" w:rsidP="00E75D06">
      <w:r>
        <w:tab/>
        <w:t xml:space="preserve">a. Storage of </w:t>
      </w:r>
      <w:r w:rsidR="00ED1D72">
        <w:t xml:space="preserve">All </w:t>
      </w:r>
      <w:r>
        <w:t xml:space="preserve">Grants Management </w:t>
      </w:r>
      <w:r w:rsidR="00ED1D72">
        <w:t xml:space="preserve">Relational </w:t>
      </w:r>
      <w:r>
        <w:t>Data</w:t>
      </w:r>
    </w:p>
    <w:p w14:paraId="56B515BA" w14:textId="6BB39C07" w:rsidR="00367EEF" w:rsidRDefault="00367EEF" w:rsidP="00E75D06">
      <w:r>
        <w:tab/>
        <w:t xml:space="preserve">b. Grants Management Reports Source for </w:t>
      </w:r>
      <w:r w:rsidR="00BD5219">
        <w:t>Google Data Studio</w:t>
      </w:r>
    </w:p>
    <w:p w14:paraId="72F4C29C" w14:textId="32B34C46" w:rsidR="00E75D06" w:rsidRDefault="00556C4E" w:rsidP="00E75D06">
      <w:r>
        <w:t>6</w:t>
      </w:r>
      <w:r w:rsidR="00E75D06">
        <w:t>. Google Data Studio Report</w:t>
      </w:r>
      <w:r w:rsidR="003D6312">
        <w:t>:</w:t>
      </w:r>
    </w:p>
    <w:p w14:paraId="7AF46823" w14:textId="2C15D066" w:rsidR="00196618" w:rsidRDefault="00196618" w:rsidP="00E75D06">
      <w:r>
        <w:tab/>
        <w:t xml:space="preserve">a. </w:t>
      </w:r>
      <w:r w:rsidR="00174B6D">
        <w:t>Report Design Tool for G</w:t>
      </w:r>
      <w:r w:rsidR="00003370">
        <w:t xml:space="preserve">rants Management Reports </w:t>
      </w:r>
    </w:p>
    <w:p w14:paraId="5DF11C67" w14:textId="53A1AEAF" w:rsidR="00003370" w:rsidRDefault="00003370" w:rsidP="00E75D06">
      <w:r>
        <w:tab/>
        <w:t xml:space="preserve">b. </w:t>
      </w:r>
      <w:r w:rsidR="00F346A5">
        <w:t xml:space="preserve">Also has </w:t>
      </w:r>
      <w:r w:rsidR="00A00CA0">
        <w:t xml:space="preserve">Basic </w:t>
      </w:r>
      <w:r w:rsidR="00F346A5">
        <w:t>Report</w:t>
      </w:r>
      <w:r w:rsidR="00A00CA0">
        <w:t>s</w:t>
      </w:r>
      <w:r w:rsidR="00F346A5">
        <w:t xml:space="preserve"> Delivery Capabilities</w:t>
      </w:r>
    </w:p>
    <w:p w14:paraId="32DAD75B" w14:textId="4C24C6D0" w:rsidR="00E75D06" w:rsidRDefault="00556C4E" w:rsidP="00E75D06">
      <w:r>
        <w:t>7</w:t>
      </w:r>
      <w:r w:rsidR="00E75D06">
        <w:t>. Google Data Studio Report Scheduled Email Delivery</w:t>
      </w:r>
      <w:r w:rsidR="003D6312">
        <w:t>:</w:t>
      </w:r>
    </w:p>
    <w:p w14:paraId="14176B65" w14:textId="5FAFBE7D" w:rsidR="00196618" w:rsidRDefault="00196618" w:rsidP="00E75D06">
      <w:r>
        <w:tab/>
        <w:t xml:space="preserve">a. </w:t>
      </w:r>
      <w:r w:rsidR="004247B1">
        <w:t>Basic Reports Delivery Capability</w:t>
      </w:r>
    </w:p>
    <w:p w14:paraId="742B9BC5" w14:textId="2F3B1767" w:rsidR="004247B1" w:rsidRDefault="004247B1" w:rsidP="00E75D06">
      <w:r>
        <w:tab/>
        <w:t xml:space="preserve">b. Emails </w:t>
      </w:r>
      <w:r w:rsidR="00090502">
        <w:t>Report in PDF Format to Outlook 365 Shared Inbox</w:t>
      </w:r>
    </w:p>
    <w:p w14:paraId="7C1DAD90" w14:textId="2F3581F1" w:rsidR="009A62B1" w:rsidRDefault="00556C4E" w:rsidP="009A62B1">
      <w:r>
        <w:t>8</w:t>
      </w:r>
      <w:r w:rsidR="009A62B1">
        <w:t>. Outlook 365 Shared Inbox</w:t>
      </w:r>
      <w:r w:rsidR="003D6312">
        <w:t>:</w:t>
      </w:r>
    </w:p>
    <w:p w14:paraId="199866EC" w14:textId="2D265DE1" w:rsidR="009A62B1" w:rsidRDefault="009A62B1" w:rsidP="009A62B1">
      <w:r>
        <w:tab/>
        <w:t xml:space="preserve">a. </w:t>
      </w:r>
      <w:r w:rsidR="00B426BA">
        <w:t>Provides a Location for Receiving Email Reports</w:t>
      </w:r>
    </w:p>
    <w:p w14:paraId="33EC55C8" w14:textId="45FED370" w:rsidR="00B426BA" w:rsidRDefault="00B426BA" w:rsidP="009A62B1">
      <w:r>
        <w:tab/>
        <w:t xml:space="preserve">b. </w:t>
      </w:r>
      <w:r w:rsidR="006A2C97">
        <w:t>Shared with Multiple Grants Management Team Members</w:t>
      </w:r>
    </w:p>
    <w:p w14:paraId="1AF0800D" w14:textId="0CC6E06E" w:rsidR="00E75D06" w:rsidRDefault="00556C4E" w:rsidP="00E75D06">
      <w:r>
        <w:t>9</w:t>
      </w:r>
      <w:r w:rsidR="00E75D06">
        <w:t>. Power Automate Workflow</w:t>
      </w:r>
      <w:r w:rsidR="003D6312">
        <w:t>:</w:t>
      </w:r>
    </w:p>
    <w:p w14:paraId="4BB3332D" w14:textId="2998763A" w:rsidR="002A5A0F" w:rsidRDefault="00196618" w:rsidP="00E75D06">
      <w:r>
        <w:tab/>
        <w:t xml:space="preserve">a. </w:t>
      </w:r>
      <w:r w:rsidR="003A2529">
        <w:t xml:space="preserve">Detects Email Delivery to the Outlook 365 </w:t>
      </w:r>
      <w:r w:rsidR="00093440">
        <w:t>Shared Inbox</w:t>
      </w:r>
    </w:p>
    <w:p w14:paraId="58FC5055" w14:textId="129B2266" w:rsidR="00093440" w:rsidRDefault="00093440" w:rsidP="00E75D06">
      <w:r>
        <w:tab/>
        <w:t xml:space="preserve">b. </w:t>
      </w:r>
      <w:r w:rsidR="00C44689">
        <w:t>Copies</w:t>
      </w:r>
      <w:r>
        <w:t xml:space="preserve"> Email Attachments to the </w:t>
      </w:r>
      <w:r w:rsidR="00BC771A">
        <w:t>SharePoint Online Library</w:t>
      </w:r>
    </w:p>
    <w:p w14:paraId="02811357" w14:textId="670DEADE" w:rsidR="002A5A0F" w:rsidRDefault="00556C4E" w:rsidP="002A5A0F">
      <w:r>
        <w:t>10</w:t>
      </w:r>
      <w:r w:rsidR="002A5A0F">
        <w:t>. SharePoint Online Report Library</w:t>
      </w:r>
      <w:r w:rsidR="00326379">
        <w:t xml:space="preserve"> (Grants Reports)</w:t>
      </w:r>
      <w:r w:rsidR="003D6312">
        <w:t>:</w:t>
      </w:r>
    </w:p>
    <w:p w14:paraId="2CCFA8BA" w14:textId="63960E12" w:rsidR="002A5A0F" w:rsidRDefault="002A5A0F" w:rsidP="002A5A0F">
      <w:r>
        <w:tab/>
        <w:t xml:space="preserve">a. </w:t>
      </w:r>
      <w:r w:rsidR="00BC771A">
        <w:t xml:space="preserve">Receives </w:t>
      </w:r>
      <w:r w:rsidR="00C44689">
        <w:t>Copied Email Attachments from the Power Automate Workflow</w:t>
      </w:r>
      <w:r w:rsidR="00C27BD3">
        <w:t xml:space="preserve">. </w:t>
      </w:r>
    </w:p>
    <w:p w14:paraId="3DAEF84F" w14:textId="67291BD8" w:rsidR="00C27BD3" w:rsidRDefault="00C27BD3" w:rsidP="002A5A0F">
      <w:r>
        <w:tab/>
        <w:t xml:space="preserve">b. Contains Multiple Folders for Multiple Reports </w:t>
      </w:r>
    </w:p>
    <w:p w14:paraId="02769EB1" w14:textId="1E3DD64C" w:rsidR="0098394F" w:rsidRDefault="0098394F" w:rsidP="002A5A0F">
      <w:r>
        <w:tab/>
        <w:t xml:space="preserve">b. </w:t>
      </w:r>
      <w:r w:rsidR="00E64F2E">
        <w:t xml:space="preserve">Folders are Permission Controlled to Limit Access to the </w:t>
      </w:r>
      <w:r w:rsidR="003A384D">
        <w:t>Appropriate Individuals</w:t>
      </w:r>
      <w:r>
        <w:t xml:space="preserve"> </w:t>
      </w:r>
    </w:p>
    <w:p w14:paraId="33D791D8" w14:textId="40AD977E" w:rsidR="002A5A0F" w:rsidRDefault="004E5902" w:rsidP="002A5A0F">
      <w:r>
        <w:t>1</w:t>
      </w:r>
      <w:r w:rsidR="00556C4E">
        <w:t>1</w:t>
      </w:r>
      <w:r>
        <w:t xml:space="preserve">. </w:t>
      </w:r>
      <w:r w:rsidR="003D6312">
        <w:t xml:space="preserve">Power Automate </w:t>
      </w:r>
      <w:r w:rsidR="00556C4E">
        <w:t>Screen Shots:</w:t>
      </w:r>
    </w:p>
    <w:p w14:paraId="35FE65BB" w14:textId="6D0D08A7" w:rsidR="008C5A93" w:rsidRDefault="00F452FD" w:rsidP="002A5A0F">
      <w:r>
        <w:tab/>
        <w:t>a. Workflow Overview:</w:t>
      </w:r>
    </w:p>
    <w:p w14:paraId="755AE3A7" w14:textId="70A57026" w:rsidR="00E75D06" w:rsidRDefault="008C5A93" w:rsidP="00F452FD">
      <w:pPr>
        <w:ind w:left="720"/>
      </w:pPr>
      <w:r>
        <w:rPr>
          <w:noProof/>
        </w:rPr>
        <w:drawing>
          <wp:inline distT="0" distB="0" distL="0" distR="0" wp14:anchorId="462FE8E1" wp14:editId="3A5742E1">
            <wp:extent cx="4561429" cy="1745169"/>
            <wp:effectExtent l="0" t="0" r="0" b="7620"/>
            <wp:docPr id="3" name="Picture 3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5754" cy="175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C57D2" w14:textId="7F7E6551" w:rsidR="00D97BAD" w:rsidRDefault="00D97BAD" w:rsidP="00F452FD">
      <w:pPr>
        <w:ind w:left="720"/>
      </w:pPr>
      <w:r>
        <w:t xml:space="preserve">b. Step 1: </w:t>
      </w:r>
      <w:r w:rsidR="007F5385">
        <w:t xml:space="preserve">“On </w:t>
      </w:r>
      <w:r w:rsidR="00F219D0">
        <w:t>new email with attachment”:</w:t>
      </w:r>
    </w:p>
    <w:p w14:paraId="0D3EB122" w14:textId="5E7CF507" w:rsidR="00F219D0" w:rsidRDefault="00F219D0" w:rsidP="00F452FD">
      <w:pPr>
        <w:ind w:left="720"/>
      </w:pPr>
      <w:r>
        <w:rPr>
          <w:noProof/>
        </w:rPr>
        <w:drawing>
          <wp:inline distT="0" distB="0" distL="0" distR="0" wp14:anchorId="244512A0" wp14:editId="769BF880">
            <wp:extent cx="4545572" cy="3374667"/>
            <wp:effectExtent l="19050" t="19050" r="26670" b="1651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1344" cy="337895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F96C086" w14:textId="62C7D5E9" w:rsidR="006D3A87" w:rsidRDefault="00F9154D" w:rsidP="00F452FD">
      <w:pPr>
        <w:ind w:left="720"/>
        <w:rPr>
          <w:noProof/>
        </w:rPr>
      </w:pPr>
      <w:r>
        <w:t xml:space="preserve">c. </w:t>
      </w:r>
      <w:r w:rsidR="00307B58">
        <w:t xml:space="preserve">Step </w:t>
      </w:r>
      <w:r w:rsidR="00B165F0">
        <w:t>1</w:t>
      </w:r>
      <w:r w:rsidR="00307B58">
        <w:t xml:space="preserve"> </w:t>
      </w:r>
      <w:r w:rsidR="00D96854">
        <w:t xml:space="preserve">Workflow </w:t>
      </w:r>
      <w:r w:rsidR="00307B58">
        <w:t>Log: “</w:t>
      </w:r>
      <w:r w:rsidR="006D3A87" w:rsidRPr="006D3A87">
        <w:t>On New Email with Attachment - WF Log</w:t>
      </w:r>
      <w:r w:rsidR="00307B58">
        <w:t>”:</w:t>
      </w:r>
      <w:r w:rsidR="006D3A87" w:rsidRPr="006D3A87">
        <w:rPr>
          <w:noProof/>
        </w:rPr>
        <w:t xml:space="preserve"> </w:t>
      </w:r>
    </w:p>
    <w:p w14:paraId="6F4BA769" w14:textId="611B3FF0" w:rsidR="00307B58" w:rsidRDefault="006D3A87" w:rsidP="00F452FD">
      <w:pPr>
        <w:ind w:left="720"/>
      </w:pPr>
      <w:r>
        <w:rPr>
          <w:noProof/>
        </w:rPr>
        <w:drawing>
          <wp:inline distT="0" distB="0" distL="0" distR="0" wp14:anchorId="569C25F9" wp14:editId="3F69B78B">
            <wp:extent cx="4555797" cy="1788572"/>
            <wp:effectExtent l="19050" t="19050" r="16510" b="2159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4579" cy="180379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AD0F444" w14:textId="4D040D5B" w:rsidR="00BC5FFB" w:rsidRDefault="00BF1EC8" w:rsidP="00F452FD">
      <w:pPr>
        <w:ind w:left="720"/>
      </w:pPr>
      <w:r>
        <w:t>d</w:t>
      </w:r>
      <w:r w:rsidR="00170FD7">
        <w:t xml:space="preserve">. </w:t>
      </w:r>
      <w:r w:rsidR="000A4B7C">
        <w:t>Step 2: “Initialize variable”:</w:t>
      </w:r>
    </w:p>
    <w:p w14:paraId="3EEDB57F" w14:textId="23A1A0E3" w:rsidR="000A4B7C" w:rsidRDefault="00C454D2" w:rsidP="00F452FD">
      <w:pPr>
        <w:ind w:left="720"/>
      </w:pPr>
      <w:r>
        <w:rPr>
          <w:noProof/>
        </w:rPr>
        <w:drawing>
          <wp:inline distT="0" distB="0" distL="0" distR="0" wp14:anchorId="6C2C87AE" wp14:editId="4E2BA3D4">
            <wp:extent cx="4567265" cy="1403588"/>
            <wp:effectExtent l="19050" t="19050" r="24130" b="2540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0624" cy="14138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42F5EA0" w14:textId="25336D8D" w:rsidR="00D96854" w:rsidRDefault="006D3A87" w:rsidP="00D96854">
      <w:pPr>
        <w:ind w:left="720"/>
      </w:pPr>
      <w:r>
        <w:t>e</w:t>
      </w:r>
      <w:r w:rsidR="00D96854">
        <w:t xml:space="preserve">. </w:t>
      </w:r>
      <w:r w:rsidR="00D96854">
        <w:t>Step 2 Workflow Log: “</w:t>
      </w:r>
      <w:r w:rsidR="00212BF2">
        <w:t>Initialize Variable</w:t>
      </w:r>
      <w:r w:rsidR="00D96854" w:rsidRPr="00307B58">
        <w:t xml:space="preserve"> - WF Log</w:t>
      </w:r>
      <w:r w:rsidR="00D96854">
        <w:t>”:</w:t>
      </w:r>
    </w:p>
    <w:p w14:paraId="0AA5E2BC" w14:textId="7FE4E454" w:rsidR="00D96854" w:rsidRDefault="00212BF2" w:rsidP="00F452FD">
      <w:pPr>
        <w:ind w:left="720"/>
      </w:pPr>
      <w:r>
        <w:rPr>
          <w:noProof/>
        </w:rPr>
        <w:drawing>
          <wp:inline distT="0" distB="0" distL="0" distR="0" wp14:anchorId="0B185CA3" wp14:editId="003639EA">
            <wp:extent cx="4584663" cy="1814762"/>
            <wp:effectExtent l="19050" t="19050" r="26035" b="14605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7786" cy="182787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03FCF69" w14:textId="13D16923" w:rsidR="00C454D2" w:rsidRDefault="00F12819" w:rsidP="00F452FD">
      <w:pPr>
        <w:ind w:left="720"/>
      </w:pPr>
      <w:r>
        <w:t>f</w:t>
      </w:r>
      <w:r w:rsidR="00C454D2">
        <w:t xml:space="preserve">. </w:t>
      </w:r>
      <w:r w:rsidR="00590CDE">
        <w:t>Step 3</w:t>
      </w:r>
      <w:r w:rsidR="005D26E1">
        <w:t>a</w:t>
      </w:r>
      <w:r w:rsidR="00590CDE">
        <w:t>: “Condition”:</w:t>
      </w:r>
    </w:p>
    <w:p w14:paraId="72B07BD8" w14:textId="25F324DD" w:rsidR="00590CDE" w:rsidRDefault="00590CDE" w:rsidP="00F452FD">
      <w:pPr>
        <w:ind w:left="720"/>
      </w:pPr>
      <w:r>
        <w:rPr>
          <w:noProof/>
        </w:rPr>
        <w:drawing>
          <wp:inline distT="0" distB="0" distL="0" distR="0" wp14:anchorId="1364836B" wp14:editId="5BD42CB8">
            <wp:extent cx="4656569" cy="1384898"/>
            <wp:effectExtent l="0" t="0" r="0" b="635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7520" cy="1394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9FDBC" w14:textId="1BE87F4D" w:rsidR="005D26E1" w:rsidRDefault="00F12819" w:rsidP="00F452FD">
      <w:pPr>
        <w:ind w:left="720"/>
      </w:pPr>
      <w:r>
        <w:t>g</w:t>
      </w:r>
      <w:r w:rsidR="005D26E1">
        <w:t xml:space="preserve">. Step 3b: </w:t>
      </w:r>
      <w:r w:rsidR="00FE366D">
        <w:t>“If Yes”:</w:t>
      </w:r>
    </w:p>
    <w:p w14:paraId="6C57772B" w14:textId="72289B75" w:rsidR="0093137A" w:rsidRDefault="0093137A" w:rsidP="00F452FD">
      <w:pPr>
        <w:ind w:left="720"/>
      </w:pPr>
      <w:r>
        <w:rPr>
          <w:noProof/>
        </w:rPr>
        <w:drawing>
          <wp:inline distT="0" distB="0" distL="0" distR="0" wp14:anchorId="3FCA71B9" wp14:editId="4DC6FCF5">
            <wp:extent cx="4584714" cy="2956715"/>
            <wp:effectExtent l="19050" t="19050" r="25400" b="1524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4354" cy="296938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AE0DDA1" w14:textId="1F37F72E" w:rsidR="00F12819" w:rsidRDefault="005F6408" w:rsidP="00F452FD">
      <w:pPr>
        <w:ind w:left="720"/>
      </w:pPr>
      <w:r>
        <w:t xml:space="preserve">h. </w:t>
      </w:r>
      <w:r w:rsidR="00B165F0">
        <w:t>Step 3b Workflow Log: “</w:t>
      </w:r>
      <w:r w:rsidRPr="005F6408">
        <w:t xml:space="preserve">Condition Met </w:t>
      </w:r>
      <w:r w:rsidR="00B165F0">
        <w:t>‘</w:t>
      </w:r>
      <w:r w:rsidRPr="005F6408">
        <w:t>Yes</w:t>
      </w:r>
      <w:r w:rsidR="00B165F0">
        <w:t>’</w:t>
      </w:r>
      <w:r w:rsidRPr="005F6408">
        <w:t xml:space="preserve"> - WF Log</w:t>
      </w:r>
      <w:r w:rsidR="00B165F0">
        <w:t>”</w:t>
      </w:r>
    </w:p>
    <w:p w14:paraId="631CFCE4" w14:textId="430AF529" w:rsidR="005F6408" w:rsidRDefault="00FC0418" w:rsidP="00F452FD">
      <w:pPr>
        <w:ind w:left="720"/>
      </w:pPr>
      <w:r>
        <w:rPr>
          <w:noProof/>
        </w:rPr>
        <w:drawing>
          <wp:inline distT="0" distB="0" distL="0" distR="0" wp14:anchorId="166C0EA6" wp14:editId="7465BC37">
            <wp:extent cx="4621662" cy="1865630"/>
            <wp:effectExtent l="19050" t="19050" r="26670" b="20320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50294" cy="187718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4A85E35" w14:textId="1A41122D" w:rsidR="0093137A" w:rsidRDefault="00FA537B" w:rsidP="00F452FD">
      <w:pPr>
        <w:ind w:left="720"/>
      </w:pPr>
      <w:r>
        <w:t>i</w:t>
      </w:r>
      <w:r w:rsidR="004C6637">
        <w:t xml:space="preserve">. Step </w:t>
      </w:r>
      <w:r w:rsidR="0061562F">
        <w:t>3c: “If No”:</w:t>
      </w:r>
    </w:p>
    <w:p w14:paraId="00701521" w14:textId="3CDC5AE5" w:rsidR="0061562F" w:rsidRDefault="000B4CC4" w:rsidP="00F452FD">
      <w:pPr>
        <w:ind w:left="720"/>
      </w:pPr>
      <w:r>
        <w:rPr>
          <w:noProof/>
        </w:rPr>
        <w:drawing>
          <wp:inline distT="0" distB="0" distL="0" distR="0" wp14:anchorId="6CCBFFAE" wp14:editId="20528375">
            <wp:extent cx="4626948" cy="1185441"/>
            <wp:effectExtent l="19050" t="19050" r="21590" b="152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4225" cy="120011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C97DC21" w14:textId="3A70F1EB" w:rsidR="000B4CC4" w:rsidRDefault="000B4CC4" w:rsidP="00F452FD">
      <w:pPr>
        <w:ind w:left="720"/>
      </w:pPr>
      <w:r>
        <w:t xml:space="preserve">j. </w:t>
      </w:r>
      <w:r w:rsidR="00711F83">
        <w:t xml:space="preserve">Step 3c Workflow Log: </w:t>
      </w:r>
      <w:r w:rsidR="005F70FE">
        <w:t>“</w:t>
      </w:r>
      <w:r w:rsidR="005F70FE" w:rsidRPr="005F70FE">
        <w:t xml:space="preserve">Condition Not Met </w:t>
      </w:r>
      <w:r w:rsidR="005F70FE">
        <w:t>‘</w:t>
      </w:r>
      <w:r w:rsidR="005F70FE" w:rsidRPr="005F70FE">
        <w:t>No</w:t>
      </w:r>
      <w:r w:rsidR="005F70FE">
        <w:t>’</w:t>
      </w:r>
      <w:r w:rsidR="005F70FE" w:rsidRPr="005F70FE">
        <w:t xml:space="preserve"> - WF Log</w:t>
      </w:r>
      <w:r w:rsidR="005F70FE">
        <w:t>”</w:t>
      </w:r>
    </w:p>
    <w:p w14:paraId="19FD9C7D" w14:textId="4848D754" w:rsidR="0059693E" w:rsidRPr="000F20C4" w:rsidRDefault="0028782E" w:rsidP="00F452FD">
      <w:pPr>
        <w:ind w:left="720"/>
      </w:pPr>
      <w:r>
        <w:rPr>
          <w:noProof/>
        </w:rPr>
        <w:drawing>
          <wp:inline distT="0" distB="0" distL="0" distR="0" wp14:anchorId="2D7992D9" wp14:editId="7D593023">
            <wp:extent cx="4714710" cy="2245163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55973" cy="2264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693E" w:rsidRPr="000F20C4" w:rsidSect="000F20C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0C4"/>
    <w:rsid w:val="00003370"/>
    <w:rsid w:val="00090502"/>
    <w:rsid w:val="00093440"/>
    <w:rsid w:val="000A4B7C"/>
    <w:rsid w:val="000B4CC4"/>
    <w:rsid w:val="000F20C4"/>
    <w:rsid w:val="00170FD7"/>
    <w:rsid w:val="00174B6D"/>
    <w:rsid w:val="00193CFE"/>
    <w:rsid w:val="00196618"/>
    <w:rsid w:val="001C0900"/>
    <w:rsid w:val="00201CBB"/>
    <w:rsid w:val="00212BF2"/>
    <w:rsid w:val="0028782E"/>
    <w:rsid w:val="002A5A0F"/>
    <w:rsid w:val="00307B58"/>
    <w:rsid w:val="00326379"/>
    <w:rsid w:val="003644FE"/>
    <w:rsid w:val="00365D1C"/>
    <w:rsid w:val="00367EEF"/>
    <w:rsid w:val="003A2529"/>
    <w:rsid w:val="003A384D"/>
    <w:rsid w:val="003B2430"/>
    <w:rsid w:val="003D6312"/>
    <w:rsid w:val="004247B1"/>
    <w:rsid w:val="004C6637"/>
    <w:rsid w:val="004E5902"/>
    <w:rsid w:val="00556C4E"/>
    <w:rsid w:val="00590CDE"/>
    <w:rsid w:val="0059693E"/>
    <w:rsid w:val="005D26E1"/>
    <w:rsid w:val="005E0A29"/>
    <w:rsid w:val="005F6408"/>
    <w:rsid w:val="005F70FE"/>
    <w:rsid w:val="0061562F"/>
    <w:rsid w:val="006A1EE1"/>
    <w:rsid w:val="006A2C97"/>
    <w:rsid w:val="006D3A87"/>
    <w:rsid w:val="00711F83"/>
    <w:rsid w:val="0076303B"/>
    <w:rsid w:val="007F5385"/>
    <w:rsid w:val="008965DA"/>
    <w:rsid w:val="008C5A93"/>
    <w:rsid w:val="0093137A"/>
    <w:rsid w:val="0098394F"/>
    <w:rsid w:val="009A62B1"/>
    <w:rsid w:val="00A00CA0"/>
    <w:rsid w:val="00A169B7"/>
    <w:rsid w:val="00A16BE8"/>
    <w:rsid w:val="00A47E3B"/>
    <w:rsid w:val="00A538AB"/>
    <w:rsid w:val="00AE4BC1"/>
    <w:rsid w:val="00B165F0"/>
    <w:rsid w:val="00B426BA"/>
    <w:rsid w:val="00B803F8"/>
    <w:rsid w:val="00BC5FFB"/>
    <w:rsid w:val="00BC771A"/>
    <w:rsid w:val="00BD5219"/>
    <w:rsid w:val="00BF1EC8"/>
    <w:rsid w:val="00C27BD3"/>
    <w:rsid w:val="00C44689"/>
    <w:rsid w:val="00C454D2"/>
    <w:rsid w:val="00CB3687"/>
    <w:rsid w:val="00D91E6E"/>
    <w:rsid w:val="00D96854"/>
    <w:rsid w:val="00D97BAD"/>
    <w:rsid w:val="00E64F2E"/>
    <w:rsid w:val="00E75D06"/>
    <w:rsid w:val="00E75FAA"/>
    <w:rsid w:val="00ED1D72"/>
    <w:rsid w:val="00EE1D53"/>
    <w:rsid w:val="00F12819"/>
    <w:rsid w:val="00F219D0"/>
    <w:rsid w:val="00F346A5"/>
    <w:rsid w:val="00F452FD"/>
    <w:rsid w:val="00F9154D"/>
    <w:rsid w:val="00FA537B"/>
    <w:rsid w:val="00FC0418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B5FCB"/>
  <w15:chartTrackingRefBased/>
  <w15:docId w15:val="{6CC6BBDF-0E75-4900-8F13-B6581C635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20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8F651722C5BD4E9A2521A005C9559D" ma:contentTypeVersion="5" ma:contentTypeDescription="Create a new document." ma:contentTypeScope="" ma:versionID="f14191df3e39d17dea8cf0b9a401558f">
  <xsd:schema xmlns:xsd="http://www.w3.org/2001/XMLSchema" xmlns:xs="http://www.w3.org/2001/XMLSchema" xmlns:p="http://schemas.microsoft.com/office/2006/metadata/properties" xmlns:ns3="300e9ab0-d7ed-4d42-a3d6-1f489287d19d" xmlns:ns4="1f22784d-d691-4fa3-84ab-ee3fcc2d0301" targetNamespace="http://schemas.microsoft.com/office/2006/metadata/properties" ma:root="true" ma:fieldsID="9c8dd46f690ee1f845e9ac7a16a45632" ns3:_="" ns4:_="">
    <xsd:import namespace="300e9ab0-d7ed-4d42-a3d6-1f489287d19d"/>
    <xsd:import namespace="1f22784d-d691-4fa3-84ab-ee3fcc2d030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0e9ab0-d7ed-4d42-a3d6-1f489287d1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22784d-d691-4fa3-84ab-ee3fcc2d030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AA52727-E55A-4682-A58B-58D4785755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0e9ab0-d7ed-4d42-a3d6-1f489287d19d"/>
    <ds:schemaRef ds:uri="1f22784d-d691-4fa3-84ab-ee3fcc2d03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70856A8-E710-48CD-9318-70AF00CBCBE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735472-7926-448D-ABB3-67038F07BD3C}">
  <ds:schemaRefs>
    <ds:schemaRef ds:uri="http://purl.org/dc/dcmitype/"/>
    <ds:schemaRef ds:uri="http://purl.org/dc/elements/1.1/"/>
    <ds:schemaRef ds:uri="http://www.w3.org/XML/1998/namespace"/>
    <ds:schemaRef ds:uri="http://schemas.microsoft.com/office/2006/documentManagement/types"/>
    <ds:schemaRef ds:uri="1f22784d-d691-4fa3-84ab-ee3fcc2d0301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300e9ab0-d7ed-4d42-a3d6-1f489287d19d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Moslow, Thomas, PED</dc:creator>
  <cp:keywords/>
  <dc:description/>
  <cp:lastModifiedBy>Moslow, Thomas, PED</cp:lastModifiedBy>
  <cp:revision>2</cp:revision>
  <dcterms:created xsi:type="dcterms:W3CDTF">2022-07-25T18:51:00Z</dcterms:created>
  <dcterms:modified xsi:type="dcterms:W3CDTF">2022-07-25T18:51:00Z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0x0101000D8F651722C5BD4E9A2521A005C9559D</vt:lpwstr>
  </property>
</Properties>
</file>