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1212.mn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 → 12 жил),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өгөөжийн бодит хэмжээг үнэлэхдээ дөрвөн шатлалт эконометрик шинжилгээг явуулав. Нэгдүгээр шатанд Минсерийн сонгодог цалингийн тэгшитгэлийг э</w:t>
      </w:r>
      <w:r>
        <w:t>нгийн OLS аргаар үнэлж суурь үнэлгээг гаргана. Хоёрдугаар шатанд төрсөн когорт × аймаг × давалгааны псевдо-панелийн нүднүүд дээр фиксэлсэн ба санамсаргүй нөлөөний загваруудыг харьцуулан Хаусманы шалгуураар тохирох загварыг сонгоно. Гуравдугаар шатанд болов</w:t>
      </w:r>
      <w:r>
        <w:t>сролын эндогений шинжийг арилгах зорилгоор хоёр шатлалт хамгийн бага квадратын (2SLS) аргыг хэрэглэнэ. Эцсийн шатанд Caner ба Hansen (2004)-ийн хэрэгсэл хувьсагчтай босготой регрессийг хэрэгжүүлж, боловсролын жилийн хэмжээнд бүтцийн хугарал оршиж буй эсэхи</w:t>
      </w:r>
      <w:r>
        <w:t>йг тогтооно. Ийнхүү шатлан явуулах нь үр дүнгийн тогтвортой байдлыг баталгаажуулах шаардлагатай болно.</w:t>
      </w:r>
    </w:p>
    <w:p w14:paraId="1C909CBB" w14:textId="77777777" w:rsidR="000B782D" w:rsidRDefault="0018275F">
      <w:pPr>
        <w:pStyle w:val="Heading2"/>
        <w:spacing w:after="120"/>
      </w:pPr>
      <w:r>
        <w:t>2.1. OLS-ийн Минсерийн загвар</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w:t>
      </w:r>
      <w:r>
        <w:t>арлах өргөтгөсөн Минсерийн тэгшитгэл юм:</w:t>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w:t>
      </w:r>
      <w:r>
        <w:t>фиксэлсэн нөлөө, τₜ нь ӨНЭЗС-ийн давалгааны фиксэлсэн нөлөө юм. Стандарт алдааг аймаг тус бүрээр кластерлагдсан хэлбэрээр тооцсон бөгөөд энэ нь ижил аймаг доторх ажиглалтуудын хүрээнд үүсэх боломжит корреляцийг харгалзан авдаг.</w:t>
      </w:r>
    </w:p>
    <w:p w14:paraId="2754323A" w14:textId="77777777" w:rsidR="000B782D" w:rsidRDefault="0018275F">
      <w:pPr>
        <w:pStyle w:val="Heading2"/>
        <w:spacing w:after="120"/>
      </w:pPr>
      <w:r>
        <w:t>2.2. Псевдо-панел FE/RE загв</w:t>
      </w:r>
      <w:r>
        <w:t>ар</w:t>
      </w:r>
    </w:p>
    <w:p w14:paraId="6417B20F" w14:textId="77777777" w:rsidR="000B782D" w:rsidRDefault="0018275F">
      <w:pPr>
        <w:ind w:firstLine="567"/>
        <w:jc w:val="both"/>
      </w:pPr>
      <w:r>
        <w:t>ӨНЭЗС нь давхардаагүй түүвэр судалгаа учраас жинхэнэ хугацаат панел байгуулах боломжгүй. Иймд Deaton (1985)-ийн псевдо-панелийн аргаар төрсөн когорт (c, 5-жилийн бүлэглэл) × аймаг (a) × давалгаа (t) гэсэн гурван хэмжээсээр нүдлэн нэгтгэж, нийт 692 нүдтэ</w:t>
      </w:r>
      <w:r>
        <w:t>й бүтцийг үүсгэв. Фиксэлсэн нөлөөний (FE) загвар дараах хэлбэртэй:</w:t>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тус бүрийн нүдний хувьсагчдын дунджийг дээд зураастайгаар тэмдэглэсэн болно. Санамсарг</w:t>
      </w:r>
      <w:r>
        <w:t>үй нөлөөний (RE) загвар нь αca-г санамсаргүй хүчин зүйл гэж үзнэ. FE ба RE загваруудын сонголтыг Хаусманы шалгуураар хийв:</w:t>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χ² критик утгаас давсан бол FE загварыг с</w:t>
      </w:r>
      <w:r>
        <w:t>онгоно. Энэ нь нүдний тогтмол хүчин зүйлс нь тайлбарлах хувьсагчтай корреляцитай болохыг илтгэдэг.</w:t>
      </w:r>
    </w:p>
    <w:p w14:paraId="3EA00828" w14:textId="77777777" w:rsidR="000B782D" w:rsidRDefault="0018275F">
      <w:pPr>
        <w:pStyle w:val="Heading2"/>
        <w:spacing w:after="120"/>
      </w:pPr>
      <w:r>
        <w:t>2.3. Хоёр шатлалт хамгийн бага квадратын (2SLS)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OLS үнэ</w:t>
      </w:r>
      <w:r>
        <w:t>лгээ хазайлттай болох магадлалтай. Энэхүү эндогений шинжийг арилгахын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w:t>
      </w:r>
    </w:p>
    <w:p w14:paraId="088317D0" w14:textId="77777777" w:rsidR="000B782D" w:rsidRDefault="0018275F">
      <w:pPr>
        <w:ind w:firstLine="567"/>
        <w:jc w:val="both"/>
      </w:pPr>
      <w:r>
        <w:t xml:space="preserve">Энэхүү судалгаанд гурван </w:t>
      </w:r>
      <w:r>
        <w:t>хэрэгсэл хувьсагчийг сонгов. Эхнийх нь төрсөн аймгийн 21 ангилал хувьсагч юм. Аймгийн фиксэлсэн нөлөөг хянасны дараа сумын дотоод ялгаа нь хувь хүний авъяас чадвараас хамаарахгүй, харин тухайн сумын боловсролын хүртээмжтэй холбоотой байдаг. Хоёрдох хэрэгсэ</w:t>
      </w:r>
      <w:r>
        <w:t>л нь төрсөн сумын төвөөс Улаанбаатар хүртэлх зайн логарифм — хотоос хол сумд сурах боломж бага, тээврийн зардал өндөр байсан нь боловсролын сонголтыг шууд хязгаарладаг. Гуравдах хэрэгсэл нь тухайн хүн 12 настай байх жилд төрсөн суманд ногдож байсан ЕБС-ийн</w:t>
      </w:r>
      <w:r>
        <w:t xml:space="preserve"> багш/сурагчийн харьцаа бөгөөд 1212.mn нээлттэй мэдээллийн сангаас татав. Duflo (2001)-ийн Индонезийн судалгаатай ижил логикийг Монгол Улсын нөхцөлд шилжүүлэн хэрэглэж буй явдал юм.</w:t>
      </w:r>
    </w:p>
    <w:p w14:paraId="2835498D" w14:textId="77777777" w:rsidR="000B782D" w:rsidRDefault="0018275F">
      <w:pPr>
        <w:ind w:firstLine="567"/>
        <w:jc w:val="both"/>
      </w:pPr>
      <w:r>
        <w:t>2SLS үнэлгээ нь хоёр шатаас бүрдэнэ. Эхний шатанд эндогений регрессорыг хэ</w:t>
      </w:r>
      <w:r>
        <w:t>рэгсэл хувьсагчаар багасгасан хэлбэрт (reduced-form) шилжүүлнэ:</w:t>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орлуулж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Клейберген–Паапын F статистикаар (Staiger-Stock шалгуураар 10-аас их байх ёстой) шалгана. Хэрэгсэл хувьсагчийн тоо эндогений регрессорын тооноос илүү тохиолдолд Хансены J-тестээр хэт тодорхойлогдсон байдлыг шалгаж, Анде</w:t>
      </w:r>
      <w:r>
        <w:t>рсон–Рубины тэсвэртэй итгэлийн интервалыг сул хэрэгсэл хувьсагчийн тохиолдолд нэмэлтээр тооцдог.</w:t>
      </w:r>
    </w:p>
    <w:p w14:paraId="34BE21E6" w14:textId="77777777" w:rsidR="000B782D" w:rsidRDefault="0018275F">
      <w:pPr>
        <w:pStyle w:val="Heading2"/>
        <w:spacing w:after="120"/>
      </w:pPr>
      <w:r>
        <w:lastRenderedPageBreak/>
        <w:t>2.4. Хэрэгсэл хувьсагчтай босготой регресс (Caner–Hansen IVTR)</w:t>
      </w:r>
    </w:p>
    <w:p w14:paraId="7D273344" w14:textId="77777777" w:rsidR="000B782D" w:rsidRDefault="0018275F">
      <w:pPr>
        <w:ind w:firstLine="567"/>
        <w:jc w:val="both"/>
      </w:pPr>
      <w:r>
        <w:t xml:space="preserve">Судалгааны гол аргачлал нь Caner ба Hansen (2004)-ийн хэрэгсэл хувьсагчтай босготой регресс юм. </w:t>
      </w:r>
      <w:r>
        <w:t>Боловсролын өгөөж нь хувь хүний боловсролын түвшнээс шугаман бус байдлаар хамаарах магадлалтай бөгөөд энэ тохиолдолд өгөгдлийг тодорхой босго утга γ-ын доод ба дээд талд хоёр регимд хуваан, регим тус бүрийн өгөөжийн коэффициент β-г тусад нь үнэлэх нь бодит</w:t>
      </w:r>
      <w:r>
        <w:t>ой юм:</w:t>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 xml:space="preserve">Энд q = educ нь босго хувьсагч бөгөөд γ нь тодорхойлогдох босгоны утга юм. educ нь эндогений регрессор тул Z хэрэгсэл хувьсагчаар </w:t>
      </w:r>
      <w:r>
        <w:t>багасгагдана.</w:t>
      </w:r>
    </w:p>
    <w:p w14:paraId="2C86422C" w14:textId="77777777" w:rsidR="000B782D" w:rsidRDefault="0018275F">
      <w:pPr>
        <w:ind w:firstLine="567"/>
        <w:jc w:val="both"/>
      </w:pPr>
      <w:r>
        <w:t>Үнэлгээний алгоритм дараах алхмуудаар хэрэгжинэ. Эхлээд эндогений регрессорыг хэрэгсэл хувьсагчаар багасгасан хэлбэрт шилжүүлнэ. Дараа нь боломжит γ-ийн утгуудыг түүврийн 15–85 хувийн хооронд сүлжээн хайлтаар (grid search) шалгаж, регим тус б</w:t>
      </w:r>
      <w:r>
        <w:t>үрт 2SLS үнэлгээ хийж, концентрацилагдсан алдааны квадратуудын нийлбэрийг (SSR) тооцно. Хамгийн бага SSR-тэй γ-г оновчтой босго γ* болгон сонгоно. Босгоны статистик ач холбогдлыг SupWald шалгуураар тогтооно:</w:t>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w:t>
      </w:r>
      <w:r>
        <w:t xml:space="preserve"> SSR₀ нь босгогүй (нэг регимтэй) загварын SSR, SSR(γ) нь тодорхой γ-д босгосон хоёр регимт загварын SSR юм. SupWald статистикийн хуваарилалт стандарт бус тул Радемахерийн жинтэй дахин түүвэрлэх шалгуур (wild bootstrap)-ыг 1,000 удаагийн давталтаар явуулж p</w:t>
      </w:r>
      <w:r>
        <w:t>-утгыг тооцов.</w:t>
      </w:r>
    </w:p>
    <w:p w14:paraId="7F7D0831" w14:textId="77777777" w:rsidR="000B782D" w:rsidRDefault="0018275F">
      <w:pPr>
        <w:ind w:firstLine="567"/>
        <w:jc w:val="both"/>
      </w:pPr>
      <w:r>
        <w:t>Caner–Hansen-ийн алгоритмыг хэрэгжүүлэх R эсвэл Python багц одоогоор CRAN болон PyPI дээр байхгүй байгаа нь практик сорилт болов. Иймд уг алгоритмыг R хэл дээр 180 орчим мөртэй гарын авлагын код болгон бичиж, параметр нь мэдэгдэж буй симуляц</w:t>
      </w:r>
      <w:r>
        <w:t>итай өгөгдөл дээр нэгж шалгалт (unit test) явуулан баталгаажуулав. Энэ нь дараагийн судлаачдад дахин хэрэглэгдэх код суурийг бий болгосон давхар ашиг тустай ажил болов.</w:t>
      </w:r>
    </w:p>
    <w:p w14:paraId="7AB04086" w14:textId="77777777" w:rsidR="000B782D" w:rsidRDefault="0018275F">
      <w:pPr>
        <w:pStyle w:val="Heading2"/>
        <w:spacing w:after="120"/>
      </w:pPr>
      <w:r>
        <w:t>2.5. Тогтвортой байдлын шинжилгээний бүтэц</w:t>
      </w:r>
    </w:p>
    <w:p w14:paraId="56A85747" w14:textId="77777777" w:rsidR="000B782D" w:rsidRDefault="0018275F">
      <w:pPr>
        <w:ind w:firstLine="567"/>
        <w:jc w:val="both"/>
      </w:pPr>
      <w:r>
        <w:t>Үндсэн үр дүнгийн тогтвортой байдлыг зургаан</w:t>
      </w:r>
      <w:r>
        <w:t xml:space="preserve"> төрлийн шинжилгээгээр баталгаажуулсан болно. Нэгдүгээрт, альтернатив хяналтын хувьсагчдыг нэмж </w:t>
      </w:r>
      <w:r>
        <w:lastRenderedPageBreak/>
        <w:t>регрессийг дахин үнэлэв. Хоёрдугаарт, түүврийг дэд бүлгүүдэд (эрэгтэй, эмэгтэй, хот, хөдөө, залуу, ахмад насны ажилтнууд) хуваан регрессийг тус бүрээр хийж коэф</w:t>
      </w:r>
      <w:r>
        <w:t>фициентийн тогтвортой байдлыг шалгасан. Гуравдугаарт, өөр хэрэгсэл хувьсагчдыг ашиглан 2SLS-ын коэффициент үл хувирахыг баталгаажуулсан. Дөрөвдүгээрт, хяналтын тест (placebo) хийж — ЕБС-ийн суурь боловсрол дээр IV-ийн нөлөө мэдэгдэхүйц байх ёсгүй гэсэн таа</w:t>
      </w:r>
      <w:r>
        <w:t>маглалыг шалгасан. Тавдугаарт, цалинтай ажилтан болох сонголтын хазайлтыг арилгах үүднээс Хекманы сонголтын засварыг явуулсан. Зургаадугаарт, альтернатив босго утгууд (12, 14 жил) дээр регим хоорондын ялгааны тогтвортой байдлыг шалгасан.</w:t>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1212.mn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1212.mn нээлттэй мэдээллийн сангийн PX-Web JSON API-аар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OLS, псевдо-панел FE/RE, 2SLS, IVTR гэсэн дөрвөн шатлалт шинжилгээ нь </w:t>
      </w:r>
      <w:r>
        <w:t>нэгдмэл дүр зураг өгч байна. Хамгийн нарийвчилсан үнэлгээ болох IVTR нь боловсролын өгөөж шугаман биш, 13 жилийн босгоны хоёр талд ялгаатай бүтэцтэй болохыг баталсан. Энгийн OLS-ийн 6.8%-ийн дундаж нь уг бүтцийн хугарлыг далдалж буй нэгдсэн тоо байсан бөгө</w:t>
      </w:r>
      <w:r>
        <w:t>өд IVTR-ын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1212.mn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