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r/>
      <w:r/>
      <w:r/>
    </w:p>
    <w:p w14:paraId="04F69A25"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r/>
      <w:r/>
      <w:r/>
    </w:p>
    <w:p w14:paraId="03842C47"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r/>
      <w:r/>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t>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r/>
    </w:p>
    <w:p w14:paraId="372F5B9F"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1212.mn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r/>
      <w:r/>
      <w:r/>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дүнгийн бат бөх байдлын шинжилгээнд 2016, 2018 оны давалгааг нэмж оруулан нийт 49,366 хүний ажиглалтыг ашиглав.</w:t>
      </w:r>
      <w:r/>
      <w:r/>
    </w:p>
    <w:p w14:paraId="1CE9D9A4" w14:textId="77777777" w:rsidR="000B782D" w:rsidRDefault="0018275F">
      <w:r>
        <w:br w:type="page"/>
      </w:r>
    </w:p>
    <w:p>
      <w:pPr>
        <w:pStyle w:val="Heading2"/>
      </w:pPr>
      <w:r>
        <w:t>Ажлын бүтэц</w:t>
      </w:r>
    </w:p>
    <w:p>
      <w:r>
        <w:t>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 дүгнэлт ба бодлогын саналыг нэгтгэв.</w:t>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r/>
      <w:r/>
    </w:p>
    <w:p w14:paraId="5A7AF499"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r/>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r/>
      <w:r/>
      <w:r/>
    </w:p>
    <w:p w14:paraId="093ACE10" w14:textId="77777777" w:rsidR="000B782D" w:rsidRDefault="0018275F">
      <w:pPr>
        <w:ind w:firstLine="567"/>
        <w:jc w:val="both"/>
      </w:pPr>
      <w:r>
        <w:t>Duflo (2001) Индонез Улсын 1973–1978 оны ерөнхий боловсролын сургуулийн бүтээн байгуулалтын хөтөлбөрийг байгалийн туршилт болгон ашиглаж, 1,000 хүүхэд 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r/>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r/>
    </w:p>
    <w:p w14:paraId="77369DE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r/>
      <w:r/>
      <w:r/>
    </w:p>
    <w:p w14:paraId="05540102"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r/>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r/>
      <w:r/>
    </w:p>
    <w:p w14:paraId="129BF976"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r/>
      <w:r/>
    </w:p>
    <w:p w14:paraId="04BDCE5B"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r/>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бодит өгөөжийг үнэлэхдээ дөрвөн шатлалт эконометрик шинжилгээг явуулав. Нэгдүгээр шатанд Минсерийн сонгодог цалингийн тэгшитгэлийг энгийн хамгийн бага квадратын (ЭХБК) аргаар үнэлж суурь үнэлгээг гаргана. Хоёрдугаар шатанд төрсөн когорт × аймаг × давалгааны псевдо-панелийн нүднүүд дээр тогтмол ба санамсаргүй нөлөөний загваруудыг Хаусманы шалгуураар харьцуулан тохирох загварыг сонгоно. Гуравдугаар шатанд боловсролын эндоген хазайлтыг засах зорилгоор хоёр шатлалт хамгийн бага квадратын (ХШХБК) аргыг хэрэглэнэ. Эцсийн шатанд Caner, Hansen (2004) нарын хэрэгсэл хувьсагчтай босго утгат регрессийн (ХХБР) аргачлалыг хэрэгжүүлж, боловсролын жилийн хэмжээнд бүтцийн хугарал оршиж буй эсэхийг тогтооно. Ийнхүү шатлалтай явуулах нь үр дүнгийн бат бөх байдлыг баталгаажуулах ач холбогдолтой юм.</w:t>
      </w:r>
      <w:r/>
      <w:r/>
      <w:r/>
    </w:p>
    <w:p w14:paraId="1C909CBB" w14:textId="77777777" w:rsidR="000B782D" w:rsidRDefault="0018275F">
      <w:pPr>
        <w:pStyle w:val="Heading2"/>
        <w:spacing w:after="120"/>
      </w:pPr>
      <w:r>
        <w:t>2.1. Минсерийн суурь тэгшитгэл</w:t>
      </w:r>
    </w:p>
    <w:p w14:paraId="72D960E9" w14:textId="77777777" w:rsidR="000B782D" w:rsidRDefault="0018275F">
      <w:pPr>
        <w:ind w:firstLine="567"/>
        <w:jc w:val="both"/>
      </w:pPr>
      <w:r>
        <w:t>Суурь загвар нь цалингийн логарифмыг боловсролын жил, ажлын туршлага, туршлагын квадрат болон хяналтын хувьсагчуудаар тайлбарлах өргөтгөсөн Минсерийн тэгшитгэл бөгөөд дараах хэлбэртэй:</w:t>
      </w:r>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кластерласан хэлбэрээр тооцсон бөгөөд энэ нь нэг аймгийн доторх ажиглалтуудын хооронд үүсэх боломжит хамаарлыг харгалзан авна.</w:t>
      </w:r>
      <w:r/>
    </w:p>
    <w:p w14:paraId="2754323A" w14:textId="77777777" w:rsidR="000B782D" w:rsidRDefault="0018275F">
      <w:pPr>
        <w:pStyle w:val="Heading2"/>
        <w:spacing w:after="120"/>
      </w:pPr>
      <w:r>
        <w:t>2.2. Псевдо-панелийн тогтмол ба санамсаргүй нөлөөний загвар</w:t>
      </w:r>
      <w:r/>
    </w:p>
    <w:p w14:paraId="6417B20F" w14:textId="77777777" w:rsidR="000B782D" w:rsidRDefault="0018275F">
      <w:pPr>
        <w:ind w:firstLine="567"/>
        <w:jc w:val="both"/>
      </w:pPr>
      <w:r>
        <w:t>ӨНЭЗС нь давхардаагүй түүвэр судалгаа тул жинхэнэ хугацаат панелийн мэдээлэл байгуулах боломжгүй. Иймд Deaton (1985)-ийн псевдо-панелийн аргыг ашиглан төрсөн когорт (c, таван жилийн бүлэг), аймаг (a), давалгаа (t) гэсэн гурван хэмжээсээр нүдлэн нэгтгэж, нийт 692 нүдтэй хиймэл панелийн бүтэц үүсгэв. Тогтмол нөлөөний (ТН) загвар нь дараах хэлбэртэй байна:</w:t>
      </w:r>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c бүрийн нүдний хувьсагчдын дундажийг дээд зураастайгаар тэмдэглэсэн болно. Санамсаргүй нөлөөний (СН) загвар нь αca-г санамсаргүй хүчин зүйл гэж үзнэ. ТН ба СН загваруудын аль нь илүү тохиромжтойг Хаусманы шалгуураар тогтоов:</w:t>
      </w:r>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критик утгаас давсан бол ТН загварыг сонгоно. Энэ нь нүдний тогтмол хүчин зүйлс нь тайлбарлах хувьсагчтай хамааралтай болохыг илтгэдэг.</w:t>
      </w:r>
      <w:r/>
    </w:p>
    <w:p w14:paraId="3EA00828" w14:textId="77777777" w:rsidR="000B782D" w:rsidRDefault="0018275F">
      <w:pPr>
        <w:pStyle w:val="Heading2"/>
        <w:spacing w:after="120"/>
      </w:pPr>
      <w:r>
        <w:t>2.3. Хоёр шатлалт хамгийн бага квадратын (ХШХБК) арга</w:t>
      </w:r>
    </w:p>
    <w:p w14:paraId="1C65CD56" w14:textId="77777777" w:rsidR="000B782D" w:rsidRDefault="0018275F">
      <w:pPr>
        <w:ind w:firstLine="567"/>
        <w:jc w:val="both"/>
      </w:pPr>
      <w:r>
        <w:t>Боловсрол нь хувь хүний ажиглагдахгүй ур чадвар, авъяас, гэр бүлийн нөхцөлтэй нягт холбоотой тул ЭХБК үнэлгээ хазайлттай болох магадлалтай. Энэхүү эндоген хазайлтыг засахын тулд боловсролын сонголтод нөлөөлдөг боловч цалинд зөвхөн боловсролоор дамжин нөлөөлдөг гуравдагч хүчин зүйлсийг хэрэгсэл хувьсагч болгон хэрэглэх шаардлагатай болдог.</w:t>
      </w:r>
      <w:r/>
    </w:p>
    <w:p w14:paraId="088317D0"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1212.mn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r/>
      <w:r/>
      <w:r/>
    </w:p>
    <w:p w14:paraId="2835498D"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r/>
    </w:p>
    <w:p w14:paraId="34BE21E6" w14:textId="77777777" w:rsidR="000B782D" w:rsidRDefault="0018275F">
      <w:pPr>
        <w:pStyle w:val="Heading2"/>
        <w:spacing w:after="120"/>
      </w:pPr>
      <w:r>
        <w:t>2.4. Хэрэгсэл хувьсагчтай босго утгат регресс (ХХБР)</w:t>
      </w:r>
    </w:p>
    <w:p w14:paraId="7D273344" w14:textId="77777777" w:rsidR="000B782D" w:rsidRDefault="0018275F">
      <w:pPr>
        <w:ind w:firstLine="567"/>
        <w:jc w:val="both"/>
      </w:pPr>
      <w:r>
        <w:t>Судалгааны гол аргачлал нь Caner, Hansen (2004) нарын хэрэгсэл хувьсагчтай босго утгат регресс юм. Боловсролын өгөөж нь боловсролын жилийн түвшнээс шугаман бусаар хамаарах магадлалтай бөгөөд энэ тохиолдолд өгөгдлийг тодорхой босго утга γ-ын доод, дээд талд хоёр регимд хувааж, регим тус бүрийн өгөөжийн коэффициент β-г тусад нь үнэлэх нь зүйтэй юм:</w:t>
      </w:r>
      <w:r/>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r/>
    </w:p>
    <w:p w14:paraId="2C86422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концентрацилагдсан алдааны квадратуудын нийлбэрийг (АКН) тооцно. Гуравдугаарт, хамгийн бага АКН-тэй γ-г оновчтой босго γ* болгон сонгоно. Босгоны статистик ач холбогдлыг дээд Вальдын шалгуураар тогтоох бөгөөд дараах хэлбэртэй:</w:t>
      </w:r>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 АКН₀ нь босгогүй (нэг регимтэй) загварын алдааны квадратын нийлбэр, АКН(γ) нь тодорхой γ-д босголсон хоёр регимтэй загварын алдааны квадратын нийлбэр юм.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r/>
      <w:r/>
    </w:p>
    <w:p w14:paraId="7F7D0831"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r/>
    </w:p>
    <w:p w14:paraId="7AB04086" w14:textId="77777777" w:rsidR="000B782D" w:rsidRDefault="0018275F">
      <w:pPr>
        <w:pStyle w:val="Heading2"/>
        <w:spacing w:after="120"/>
      </w:pPr>
      <w:r>
        <w:t>2.5. Үр дүнгийн бат бөх байдлын шинжилгээний бүтэц</w:t>
      </w:r>
    </w:p>
    <w:p w14:paraId="56A85747" w14:textId="77777777" w:rsidR="000B782D" w:rsidRDefault="0018275F">
      <w:pPr>
        <w:ind w:firstLine="567"/>
        <w:jc w:val="both"/>
      </w:pPr>
      <w:r>
        <w:t>Үндсэн үр дүнгийн бат бөх байдлыг зургаан төрлийн шинжилгээгээр баталгаажуулав. Нэгдүгээрт, өөр хяналтын хувьсагчдыг нэмж регрессийг дахин үнэлэв. Хоёрдугаарт, түүврийг дэд бүлгүүдэд (эрэгтэй, эмэгтэй, хот, хөдөө, залуу, ахмад насны ажилтан)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 ерөнхий боловсролын сургуулийн суурь боловсрол дээр хэрэгсэл хувьсагчийн нөлөө мэдэгдэхүйц байх ёсгүй гэсэн таамаглалыг шалгав. Тавдугаарт, цалинтай ажилтан болох сонголтын хазайлтыг арилгах зорилгоор Хекманы сонголтын засварыг явуулав. Зургаадугаарт, өөр босго утгууд (12, 14 жил) дээр регим хоорондын ялгааны бат бөх байдлыг шалгав.</w:t>
      </w:r>
      <w:r/>
      <w:r/>
      <w:r/>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Үндсэн эх сурвалж: ӨНЭЗС</w:t>
      </w:r>
    </w:p>
    <w:p w14:paraId="2E8FC538" w14:textId="77777777" w:rsidR="000B782D" w:rsidRDefault="0018275F">
      <w:pPr>
        <w:ind w:firstLine="567"/>
        <w:jc w:val="both"/>
      </w:pPr>
      <w:r>
        <w:t>Энэхүү судалгааны үндсэн өгөгдлийн сурвалж нь Үндэсний Статистикийн Хороо (ҮСХ)-ноос тогтмол явуулдаг Өрхийн нийгэм, эдийн засгийн судалгаа (ӨНЭЗС) юм. ӨНЭЗС нь Монгол Улсын өрхийн орлого, зарлага, х</w:t>
      </w:r>
      <w:r>
        <w:t>өдөлмөр эрхлэлт, боловсрол, хүн амын бүтэц зэрэг нийгэм эдийн засгийн үзүүлэлтүүдийг хамарсан улсын хэмжээний төлөөллөө харгалзсан түүвэр судалгаа бөгөөд Дэлхийн банк, Олон улсын валютын сан, Нэгдсэн Үндэстний Байгууллагын статистикийн агентлагуудаар батал</w:t>
      </w:r>
      <w:r>
        <w:t>гаажуулсан арга зүйгээр явагддаг.</w:t>
      </w:r>
    </w:p>
    <w:p w14:paraId="5C8DB69B" w14:textId="77777777" w:rsidR="000B782D" w:rsidRDefault="0018275F">
      <w:pPr>
        <w:ind w:firstLine="567"/>
        <w:jc w:val="both"/>
      </w:pPr>
      <w:r>
        <w:t>Энэхүү судалгаанд 2016, 2018, 2020, 2021, 2024 оны таван давалгаа ашиглагдсан бөгөөд нийт 272,096 хувь хүний бүртгэлтэйгээр шинжилгээнд оруулав. 2016 ба 2018 оны давалгаануудад төрсөн аймгийн мэдээлэл байхгүй байсан тул тэ</w:t>
      </w:r>
      <w:r>
        <w:t>дгээрийг зөвхөн робастнес шинжилгээний дэд түүвэрт хамруулав. Харин 2020, 2021, 2024 оны гурван давалгаа нь төрсөн аймгийн хувьсагчтай тул IV шинжилгээний үндсэн түүвэр болов. Эцсийн шинжилгээнд 25–60 насны цалинтай ажилтан 49,366 хүнийг хамруулав.</w:t>
      </w:r>
    </w:p>
    <w:p w14:paraId="43A33A2A" w14:textId="77777777" w:rsidR="000B782D" w:rsidRDefault="0018275F">
      <w:pPr>
        <w:pStyle w:val="Heading2"/>
        <w:spacing w:after="120"/>
      </w:pPr>
      <w:r>
        <w:t>3.2. Нэ</w:t>
      </w:r>
      <w:r>
        <w:t>мэлт эх сурвалж: 1212.mn нээлттэй мэдээллийн сан</w:t>
      </w:r>
    </w:p>
    <w:p w14:paraId="67FB3FA3" w14:textId="77777777" w:rsidR="000B782D" w:rsidRDefault="0018275F">
      <w:pPr>
        <w:ind w:firstLine="567"/>
        <w:jc w:val="both"/>
      </w:pPr>
      <w:r>
        <w:t>Судалгааны гуравдах хэрэгсэл хувьсагчийг бүтээхдээ ҮСХ-ны 1212.mn нээлттэй мэдээллийн сангийн PX-Web JSON API-аар ерөнхий боловсролын сургуулийн статистикийн хүснэгтүүдийг татав. 21 аймаг, 330 сумын 2000–202</w:t>
      </w:r>
      <w:r>
        <w:t>4 оны 25 жилийн хугацаанд ЕБС-ийн багш, сурагчийн тоог цуглуулж, багш/сурагчийн харьцааг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 xml:space="preserve">Нэмэлт хэрэгсэл хувьсагч болох Улаанбаатар хүртэлх зайг сумын төвөөс нийслэл хүртэлх шулуун </w:t>
      </w:r>
      <w:r>
        <w:t>зайгаар, ҮСХ-ны газарзүйн мэдээллийн сан ба Google Maps API-аас тооцож тогтоов. Зайн логарифмыг ашигласан нь гадна утгын нөлөөг багасгах зорилготой.</w:t>
      </w:r>
    </w:p>
    <w:p w14:paraId="2EB78E35" w14:textId="77777777" w:rsidR="000B782D" w:rsidRDefault="0018275F">
      <w:pPr>
        <w:pStyle w:val="Heading2"/>
        <w:spacing w:after="120"/>
      </w:pPr>
      <w:r>
        <w:t>3.3. Өгөгдлийн боловсруулалт, цэвэрлэгээ</w:t>
      </w:r>
    </w:p>
    <w:p w14:paraId="52D7412C" w14:textId="77777777" w:rsidR="000B782D" w:rsidRDefault="0018275F">
      <w:pPr>
        <w:ind w:firstLine="567"/>
        <w:jc w:val="both"/>
      </w:pPr>
      <w:r>
        <w:t xml:space="preserve">Таван давалгааг нэгтгэхэд хувьсагчуудын нэршил жигд бус байсан нь </w:t>
      </w:r>
      <w:r>
        <w:t xml:space="preserve">боловсруулалтын гол сорилт байв. Цалингийн хувьсагч ӨНЭЗС-ийн эхний хоёр давалгаанд (2016, 2018) нэг код, сүүлийн гурван давалгаанд (2020, 2021, 2024) өөр код </w:t>
      </w:r>
      <w:r>
        <w:lastRenderedPageBreak/>
        <w:t xml:space="preserve">дор оршиж байсан тул нэгдсэн wage_monthly хувьсагчид тохирох хөрвүүлэлт хийв. Боловсролын жилийн </w:t>
      </w:r>
      <w:r>
        <w:t>талаар сүүлийн гурван давалгаанд жилийн тоо шууд байсан бол 2016, 2018 оны давалгаанд зөвхөн боловсролын түвшний ангилал байсан учраас боловсролын 6 түвшнийг эквивалент жилд буулгах хөрвүүлэлтийг хийж нийт 93,420 ажиглалтыг нөхөв.</w:t>
      </w:r>
    </w:p>
    <w:p w14:paraId="26EC1E7C" w14:textId="77777777" w:rsidR="000B782D" w:rsidRDefault="0018275F">
      <w:pPr>
        <w:ind w:firstLine="567"/>
        <w:jc w:val="both"/>
      </w:pPr>
      <w:r>
        <w:t>Нөхсөн өгөгдлөөс үүдэх со</w:t>
      </w:r>
      <w:r>
        <w:t>нголтын хазайлтын эрсдэлийг арилгах зорилгоор Хекманы хоёр шатлалт аргаар шалгахад Милсийн урвуу харьцаа λ = -0.041 (p &gt; 0.5) буюу статистикийн хувьд ач холбогдолгүй гарсан. Энэ нь нөхөлт хийсэн ажиглалтууд нөхөлтгүй ажиглалтуудтай системтэй ялгаагүй бөгөө</w:t>
      </w:r>
      <w:r>
        <w:t>д шинжилгээний түүвэрт хазайлт үүсээгүй болохыг харуулж байна. Үндсэн түүвэрт 25–60 насны цалинтай ажилтныг оруулж, сарын цалингийн 84,000 төгрөгөөс доош болон 5,000,000 төгрөгөөс дээш утгуудыг гаднаас нь онцгой гараасан (outlier) тул түүврээс хасав.</w:t>
      </w:r>
    </w:p>
    <w:p w14:paraId="4B5A4B4B" w14:textId="77777777" w:rsidR="000B782D" w:rsidRDefault="0018275F">
      <w:pPr>
        <w:pStyle w:val="Heading2"/>
        <w:spacing w:after="120"/>
      </w:pPr>
      <w:r>
        <w:t xml:space="preserve">3.4. </w:t>
      </w:r>
      <w:r>
        <w:t>Описатив статистик</w:t>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Монголын хөдөлмөр эрхэлж буй насанд хүрэгчдийн ихэнх нь бүрэн дунд боловсролтой байгааг харуулж байна. Цалинги</w:t>
      </w:r>
      <w:r>
        <w:t>йн хуваарилалт log-нормал тархалттай ойролцоо бөгөөд дундаж 861 мянган төгрөг, медиан 700 мянган төгрөг гэсэн утгатай байна.</w:t>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w:t>
      </w:r>
      <w:r>
        <w:t xml:space="preserve">мянган төгрөгөөс 2024 оны 1,526 мянган төгрөг хүртэл 2.8 дахин өсчээ. Энэ нь Монгол Улсын </w:t>
      </w:r>
      <w:r>
        <w:lastRenderedPageBreak/>
        <w:t xml:space="preserve">хөдөлмөрийн зах зээлд нэрлэсэн цалингийн өсөлт огцом явагдсаныг илэрхийлдэг. Түүнчлэн эмэгтэй ажилтны эзлэх хувь 49.2–50.7%-ийн хооронд тогтворжсон бол хотын ажилтны </w:t>
      </w:r>
      <w:r>
        <w:t>эзлэх хувь 64.6–73.9%-ийн хооронд хэлбэлзэж байна.</w:t>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 xml:space="preserve">Боловсролын жилийн тархалтыг ӨНЭЗС-ийн </w:t>
      </w:r>
      <w:r>
        <w:t>давалгаа тус бүрээр Зураг 1-т харуулав. Зургаас харахад тархалт нь бүх давалгаанд хоёр оргилтой (bimodal) онцлогтой байна: нэгэн оргил 10–12 жилийн боловсролтой (бүрэн дунд төгссөн) бүлэгт, нөгөөх нь 14–16 жилийн боловсролтой (коллеж, бакалавр) бүлэгт оршд</w:t>
      </w:r>
      <w:r>
        <w:t>ог. Энэхүү бүтэц нь Монголын боловсролын тогтолцооны түүхэн өөрчлөлттэй нягт холбоотой: 1995 он хүртэл 10 жилийн ерөнхий боловсролын систем, 1995–2008 онд 11 жилийн шинэчилсэн систем, 2008 оноос хойш 12 жилийн систем үйлчилж ирсэн. Иймд одоогийн 40-өөс дээ</w:t>
      </w:r>
      <w:r>
        <w:t>ш насны ажилтнуудын дунд 10–11 жилийн боловсрол зонхилдог бол 35-аас доош насны залуу ажилтнууд 12 жилийн бүрэн дунд боловсролтой байна.</w:t>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харагдаж байна.</w:t>
      </w:r>
      <w:r>
        <w:t xml:space="preserve"> Энэ хоосрол нь бүрэн дунд боловсролоос дээд боловсрол руу шилжих замд институцийн саад — тухайлбал их, дээд сургуулийн элсэлтийн шалгалт, сургалтын төлбөрийн саад, нийгэм эдийн засгийн хязгаарлалт — байгааг илэрхийлж байна. Үүнийг Мөнхнасан ба Нарандалай </w:t>
      </w:r>
      <w:r>
        <w:t>(2013)-ийн Монголын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болох урьдчилсан нотолгоо юм.</w:t>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харилцааг 2024 оны давалгаан дээр Зураг 2-т харуулав. Шугаман OLS шугам нь нийт түүвэрт ойролцоогоор 0.06-ын налуутай байхад бодит цэгийн тархалт нь 13</w:t>
      </w:r>
      <w:r>
        <w:t xml:space="preserve"> жилийн орчимд бүтцийн хугарал үүсгэж буй нь нүдэнд харагдаж байна. Энэ нь босго шинжилгээний таамаглалыг нүдний зүйн нотолгоогоор баталгаажуулах анхны сэжим болж, дараагийн IVTR үнэлгээний суурь нотолгоо болов.</w:t>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14:paraId="0E54E709" w14:textId="77777777" w:rsidR="000B782D" w:rsidRDefault="0018275F">
      <w:pPr>
        <w:pStyle w:val="Heading2"/>
        <w:spacing w:after="120"/>
      </w:pPr>
      <w:r>
        <w:t>4.1. OLS ба фиксэлсэн нөлөөний үнэлгээ</w:t>
      </w:r>
    </w:p>
    <w:p w14:paraId="6A2FFABD" w14:textId="77777777" w:rsidR="000B782D" w:rsidRDefault="0018275F">
      <w:pPr>
        <w:ind w:firstLine="567"/>
        <w:jc w:val="both"/>
      </w:pPr>
      <w:r>
        <w:t>Суурь OLS үнэлгээний үр дүнг Хүснэгт 3-т танилцуулав. Энгийн OLS загварт боловсролын нэг жилийн өгөөж нь β = 0.0736 буюу 7.6% гэж тогтоо</w:t>
      </w:r>
      <w:r>
        <w:t>гдсон. Энэ нь хувь хүний боловсролын нэмэлт нэг жил цалинг 7.6%-иар өсгөдөг гэсэн үг юм. Хяналтын хувьсагчуудыг нэмэхэд β = 0.0791 (8.2%) хүртэл өссөн бол аймаг болон давалгааны фиксэлсэн нөлөөг оруулахад β = 0.0661 (6.8%) хүртэл буурсан. Иймд аймгийн газа</w:t>
      </w:r>
      <w:r>
        <w:t>рзүйн болон үеийн тогтмол нөлөө нь боловсрол-цалингийн хамаарлыг хиймэлээр дээш чиглэсэн хазайлтад орох хандлагатай байгаа нь харагдаж байна. Тодорхойлогдох коэффициент R² нь 0.111-ээс 0.526 хүртэл огцом өсөж, аймгийн тогтмол нөлөө нь цалингийн хэлбэлзлийн</w:t>
      </w:r>
      <w:r>
        <w:t xml:space="preserve"> дийлэнх хэсгийг тайлбарлаж чадсан нь харагдаж байна.</w:t>
      </w:r>
    </w:p>
    <w:p w14:paraId="4DB326E3" w14:textId="77777777" w:rsidR="000B782D" w:rsidRDefault="0018275F">
      <w:pPr>
        <w:spacing w:before="240" w:after="60" w:line="276" w:lineRule="auto"/>
      </w:pPr>
      <w:bookmarkStart w:id="14" w:name="Tbl_3"/>
      <w:r>
        <w:rPr>
          <w:b/>
          <w:sz w:val="22"/>
        </w:rPr>
        <w:t xml:space="preserve">Хүснэгт 3  </w:t>
      </w:r>
      <w:r>
        <w:rPr>
          <w:i/>
          <w:sz w:val="22"/>
        </w:rPr>
        <w:t>Энгийн OLS ба фиксэлсэн нөлөөтэй үнэлгээний үр дүн</w:t>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Статистик ач холбогдол: *p&lt;0.10, **p&lt;0.05, ***p&lt;0.01.</w:t>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 xml:space="preserve">Псевдо-панелийн фиксэлсэн нөлөөний үнэлгээгээр β_FE = 0.1627 (стандарт алдаа 0.0124), </w:t>
      </w:r>
      <w:r>
        <w:t>санамсаргүй нөлөөний үнэлгээгээр β_RE = 0.2028 (0.0278) гарав. Хаусманы шалгуурын χ² = 15,282, p &lt; 0.001 буюу хоёр загварын үнэлгээний параметрүүд статистикийн хувьд ялгаатай тул фиксэлсэн нөлөөний загварыг сонгосон. Псевдо-панелийн түвшинд өгөөжийн үнэлгэ</w:t>
      </w:r>
      <w:r>
        <w:t>э хувь хүний түвшний үнэлгээнээс мэдэгдэхүйц өндөр гарсан нь нэгдмэлжсэн когортын түвшинд хүмүүн капиталын хуримтлалын нийт нөлөө илүү тод илэрдэгтэй холбоотой (Deaton, 1985).</w:t>
      </w:r>
    </w:p>
    <w:p w14:paraId="0A26619C" w14:textId="77777777" w:rsidR="000B782D" w:rsidRDefault="0018275F">
      <w:pPr>
        <w:pStyle w:val="Heading2"/>
        <w:spacing w:after="120"/>
      </w:pPr>
      <w:r>
        <w:t>4.2. Хоёр шатлалт (2SLS) үнэлгээ</w:t>
      </w:r>
    </w:p>
    <w:p w14:paraId="7D7B50B2" w14:textId="77777777" w:rsidR="000B782D" w:rsidRDefault="0018275F">
      <w:pPr>
        <w:ind w:firstLine="567"/>
        <w:jc w:val="both"/>
      </w:pPr>
      <w:r>
        <w:lastRenderedPageBreak/>
        <w:t>OLS үнэлгээний эндогений хазайлтыг арилгах зори</w:t>
      </w:r>
      <w:r>
        <w:t>лгоор гурван өөр хэрэгсэл хувьсагчтайгаар 2SLS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олгож байна.</w:t>
      </w:r>
    </w:p>
    <w:p w14:paraId="7ED3B140" w14:textId="77777777" w:rsidR="000B782D" w:rsidRDefault="0018275F">
      <w:pPr>
        <w:spacing w:before="240" w:after="60" w:line="276" w:lineRule="auto"/>
      </w:pPr>
      <w:bookmarkStart w:id="15" w:name="Tbl_4"/>
      <w:r>
        <w:rPr>
          <w:b/>
          <w:sz w:val="22"/>
        </w:rPr>
        <w:t xml:space="preserve">Хүснэгт 4  </w:t>
      </w:r>
      <w:r>
        <w:rPr>
          <w:i/>
          <w:sz w:val="22"/>
        </w:rPr>
        <w:t>Хэрэгсэл хувьсагчий</w:t>
      </w:r>
      <w:r>
        <w:rPr>
          <w:i/>
          <w:sz w:val="22"/>
        </w:rPr>
        <w:t>н (IV) үнэлгээний үр дүн</w:t>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хувьсагчийн 2SLS үнэлгээ нь OLS үнэлгээнээс мэдэгдэхүйц өндөр гарсан нь гол олдвор юм. Боловсролын нэг жилийн өгөөж OLS-оор 5.7% байсан бол төрсөн аймгийн IV-тэй 2SLS-аар 11.3% хүртэл өсчээ. Энэ нь OLS үнэлгээний β н</w:t>
      </w:r>
      <w:r>
        <w:t>ь бодит өгөөжийн ойролцоогоор хагасыг л илэрхийлж байсан буюу 49%-ийн хазайлт үүссэн гэсэн үг юм. Өөрөөр хэлбэл, OLS-ын доош чиглэсэн хэмжилтийн хазайлт (attenuation bias) нь ур чадварын хомсдлоос үүдэлтэй дээш чиглэсэн хазайлтаас давамгайлж байгааг харуул</w:t>
      </w:r>
      <w:r>
        <w:t>ж байна. Энэхүү үр дүн нь Card (1993)-ын Хойд Америкт хийсэн сонгодог судалгаанд тогтоогдсон 25–60%-ийн хазайлттай ойролцоо байгаа нь онцлох нотолгоо болов.</w:t>
      </w:r>
    </w:p>
    <w:p w14:paraId="2EE5ECF6" w14:textId="77777777" w:rsidR="000B782D" w:rsidRDefault="0018275F">
      <w:pPr>
        <w:ind w:firstLine="567"/>
        <w:jc w:val="both"/>
      </w:pPr>
      <w:r>
        <w:t>Хэрэгсэл хувьсагч тус бүрийн эхний шатны F статистикийг харахад Staiger–Stock-ын шалгуурыг (F &gt; 10)</w:t>
      </w:r>
      <w:r>
        <w:t xml:space="preserve"> бүгд давсан байна. ЕБС-ийн багш/сурагчийн харьцааны хэрэгсэл хувьсагч нь хамгийн хүчтэй шалтгаалалттай (F = 110.02) бол төрсөн аймгийн хэрэгсэл хувьсагч шалгуурын босго дээр (F = 10.46) байгаа нь Андерсон–Рубины сул хэрэгсэлд тэсвэртэй итгэлийн интервалыг</w:t>
      </w:r>
      <w:r>
        <w:t xml:space="preserve"> нэмэлтээр тайлагнах үндэслэл болов. Ву–Хаусманы эндогений тестийн F = 22.1 (p &lt; 0.001) нь OLS ба 2SLS коэффициентүүд статистикийн хувьд ялгаатай болохыг баталж, IV аргыг хэрэглэх шаардлагатай болохыг эмпирикээр нотолж байна.</w:t>
      </w:r>
    </w:p>
    <w:p w14:paraId="45C06652" w14:textId="77777777" w:rsidR="000B782D" w:rsidRDefault="0018275F">
      <w:pPr>
        <w:pStyle w:val="Heading2"/>
        <w:spacing w:after="120"/>
      </w:pPr>
      <w:r>
        <w:t>4.3. Хэрэгсэл хувьсагчтай босг</w:t>
      </w:r>
      <w:r>
        <w:t>отой регресс — үндсэн үр дүн</w:t>
      </w:r>
    </w:p>
    <w:p w14:paraId="0122202D" w14:textId="77777777" w:rsidR="000B782D" w:rsidRDefault="0018275F">
      <w:pPr>
        <w:ind w:firstLine="567"/>
        <w:jc w:val="both"/>
      </w:pPr>
      <w:r>
        <w:lastRenderedPageBreak/>
        <w:t>Энэхүү судалгааны хамгийн чухал үр дүн нь Caner ба Hansen (2004)-ийн IVTR аргыг Монгол Улсын өрхийн микро өгөгдөлд анх удаа хэрэглэсэн үр дүн юм. Сүлжээн хайлтын (grid search) явцад боловсролын 10–15 жилийн γ хувьсагчийн утгууд</w:t>
      </w:r>
      <w:r>
        <w:t xml:space="preserve"> дээр концентрацилагдсан алдааны квадратын нийлбэрийг тооцож, хамгийн бага утгыг γ* = 13 жил дээр олсон болно. Уг цэг Монгол Улсын боловсролын тогтолцоонд тодорхой утгатай: 12-р анги төгсгөсний дараа мэргэжлийн сургалт, МСҮТ, коллежийн эхний жил, их сургуу</w:t>
      </w:r>
      <w:r>
        <w:t>лийн бэлтгэл курс зэрэг сурах нэмэлт жил юм.</w:t>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 xml:space="preserve">Хүснэгт 5  </w:t>
      </w:r>
      <w:r>
        <w:rPr>
          <w:i/>
          <w:sz w:val="22"/>
        </w:rPr>
        <w:t>Хэрэгсэл хувьсагчтай босготой регресс (IVTR) — үндсэн үр дүн</w:t>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 xml:space="preserve">Тэмдэглэл: </w:t>
      </w:r>
      <w:r>
        <w:rPr>
          <w:i/>
          <w:sz w:val="18"/>
        </w:rPr>
        <w:t>Wild bootstrap нь Радемахерийн жингүүдтэй 1,000 борлуулалтаар үүсгэгдсэн. Үндсэн түүвэр ӨНЭЗС 2020+2021+2024.</w:t>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 xml:space="preserve">Зураг 4  </w:t>
      </w:r>
      <w:r>
        <w:rPr>
          <w:i/>
          <w:sz w:val="22"/>
        </w:rPr>
        <w:t>Босгоор тусгаарлагдсан боловсролын IV өгөөж (Caner–Hansen IVTR)</w:t>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 xml:space="preserve">Судалгааны хамгийн чухал эмпирик олдвор нь 13 жилийн босгон дээр боловсролын </w:t>
      </w:r>
      <w:r>
        <w:t>өгөөжийн огцом үсрэлт юм. Босгоноос доош (educ ≤ 13) нэг жилийн өгөөж ердөө 5.5%, харин босгоноос дээш (educ &gt; 13) 17.9% болж 3.3 дахин өсч байна. Өөрөөр хэлбэл, боловсролын нэмэлт нэг жил цалингийн түвшинд үзүүлэх нөлөө нь босгоны хоёр талд 12.4 нэгж хуви</w:t>
      </w:r>
      <w:r>
        <w:t>ар ялгаатай байна. Энэ нь Монгол Улсын хөдөлмөрийн зах зээлд Jaeger ба Page (1996)-ийн "дипломын нэмэгдэл" үзэгдэл (sheepskin effect) эмпирикээр оршин буйг анх удаа нотолж буй чухал баримт юм.</w:t>
      </w:r>
    </w:p>
    <w:p w14:paraId="6D34F182" w14:textId="77777777" w:rsidR="000B782D" w:rsidRDefault="0018275F">
      <w:pPr>
        <w:ind w:firstLine="567"/>
        <w:jc w:val="both"/>
      </w:pPr>
      <w:r>
        <w:t>Бүтцийн хугарлын статистик ач холбогдлыг SupWald шалгуураар шал</w:t>
      </w:r>
      <w:r>
        <w:t>гахад утга нь 152.20 болж, стандарт хи-квадратын критик утгуудаас олон дахин давсан. Түүнчлэн 1,000 удаагийн Радемахерийн жинтэй дахин түүвэрлэх шалгуурын (wild bootstrap) p-утга 0.001-ээс бага байгаа нь босго тохиолдлын шинжгүй статистикийн хувьд маш өндө</w:t>
      </w:r>
      <w:r>
        <w:t xml:space="preserve">р ач </w:t>
      </w:r>
      <w:r>
        <w:lastRenderedPageBreak/>
        <w:t>холбогдолтой болохыг баталгаажуулав. Доод регимд 6,144 хүн, дээд регимд 5,876 хүн хуваарилагдав.</w:t>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t>OLS ба IV үнэлгээний</w:t>
      </w:r>
      <w:r>
        <w:t xml:space="preserve"> давалгаа хоорондын харьцуулалтыг Зураг 5-т танилцуулав. OLS үнэлгээ нь давалгаа тус бүрд 4.9–8.9%-ийн хооронд хэлбэлзэж аажим буурах хандлагатай байгаа нь сүүлийн жилүүдэд шинэ ажилтнуудын боловсрол-цалингийн шугаман хамаарал ядавхаж байгааг илтгэж байна.</w:t>
      </w:r>
      <w:r>
        <w:t xml:space="preserve"> Харин IV үнэлгээ нь ойролцоогоор 11% түвшинд тогтвортой хадгалагдаж буй нь эндогений хазайлтыг засаж үнэлсэн бодит өгөөж нь цаг хугацааны хувьд тогтвортой болохыг харуулна.</w:t>
      </w:r>
    </w:p>
    <w:p w14:paraId="52A48EB5" w14:textId="77777777" w:rsidR="000B782D" w:rsidRDefault="0018275F">
      <w:pPr>
        <w:spacing w:after="60"/>
        <w:jc w:val="center"/>
      </w:pPr>
      <w:r>
        <w:rPr>
          <w:noProof/>
        </w:rPr>
        <w:lastRenderedPageBreak/>
        <w:drawing>
          <wp:inline distT="0" distB="0" distL="0" distR="0" wp14:anchorId="37FAA283" wp14:editId="2539441F">
            <wp:extent cx="5040000"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040000" cy="3780000"/>
                    </a:xfrm>
                    <a:prstGeom prst="rect">
                      <a:avLst/>
                    </a:prstGeom>
                  </pic:spPr>
                </pic:pic>
              </a:graphicData>
            </a:graphic>
          </wp:inline>
        </w:drawing>
      </w:r>
    </w:p>
    <w:p w14:paraId="0E03A3C1" w14:textId="77777777" w:rsidR="000B782D" w:rsidRDefault="0018275F">
      <w:pPr>
        <w:spacing w:before="60" w:after="60" w:line="276" w:lineRule="auto"/>
        <w:jc w:val="center"/>
      </w:pPr>
      <w:bookmarkStart w:id="19" w:name="Fig_5"/>
      <w:r>
        <w:rPr>
          <w:b/>
          <w:sz w:val="22"/>
        </w:rPr>
        <w:t xml:space="preserve">Зураг 5  </w:t>
      </w:r>
      <w:r>
        <w:rPr>
          <w:i/>
          <w:sz w:val="22"/>
        </w:rPr>
        <w:t>OLS ба IV үнэлгээний давалгаа хоорондын харьцуулалт</w:t>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Тогтвортой байдлын шинжилгээ</w:t>
      </w:r>
    </w:p>
    <w:p w14:paraId="55E6101D" w14:textId="77777777" w:rsidR="000B782D" w:rsidRDefault="0018275F">
      <w:pPr>
        <w:ind w:firstLine="567"/>
        <w:jc w:val="both"/>
      </w:pPr>
      <w:r>
        <w:t>Үндсэн үр дүнгийн тогтвортой байдлыг түүврийн дэд бүлгүүдээр шалгасан үр дүнг Хүснэгт 6-т нэгтгэн танилцуулав. Эмэгтэй ажилтнуудын боловсролын өгөөж (β = 0.0774) нь эрэгтэй ажилтнуудынхаас (β = 0.0565) 36%-иар өн</w:t>
      </w:r>
      <w:r>
        <w:t>дөр гарсан нь Монгол Улсын хөдөлмөрийн зах зээлд хүйсээр ялгавартай бүтэц бий болохыг тод харуулж байна.</w:t>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 xml:space="preserve">Хүснэгт 6  </w:t>
      </w:r>
      <w:r>
        <w:rPr>
          <w:i/>
          <w:sz w:val="22"/>
        </w:rPr>
        <w:t>Үндсэн үр дүнгийн робастнес шинжилгээ (OLS+FE)</w:t>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 xml:space="preserve">Хэрэгсэл хувьсагчийн хүчин төгөлдөр байдлыг хяналтын тест </w:t>
      </w:r>
      <w:r>
        <w:t>(placebo)-аар нэмэлтээр шалгав. Боловсролын 8 жилээс доош (буюу ЕБС-ийн дунд ангиас доош) боловсролтой ажилтнуудын дэд түүвэрт Улаанбаатар хүртэлх зайн эхний шатны коэффициент нь t = 0.80 буюу ач холбогдолгүй гарсан. Харин 8 жилээс дээш боловсролтой дэд тү</w:t>
      </w:r>
      <w:r>
        <w:t>үвэрт коэффициент t = 3.32 буюу ач холбогдолтой гарав. Энэ нь хэрэгсэл хувьсагч нь зөвхөн боловсролыг сонгох шийдвэрт нөлөөлдөг боловч бага боловсролтой иргэдийн цалинд шууд нөлөөлдөггүй гэсэн экзоген нөхцлийг эмпирикээр дэмжих болно.</w:t>
      </w:r>
    </w:p>
    <w:p w14:paraId="6B9AD345" w14:textId="77777777" w:rsidR="000B782D" w:rsidRDefault="0018275F">
      <w:pPr>
        <w:ind w:firstLine="567"/>
        <w:jc w:val="both"/>
      </w:pPr>
      <w:r>
        <w:t>Түүврийн сонголтын ха</w:t>
      </w:r>
      <w:r>
        <w:t>зайлтыг Хекманы хоёр шатлалт аргаар шалгасан. Милсийн урвуу харьцааны коэффициент 0.0406 (стандарт алдаа 0.0783, t = −0.52) буюу статистикийн хувьд ач холбогдолгүй байсан. Хекманы засвартай β_educ = 0.0671 нь энгийн OLS-ийн 0.0661-тай бараг адил гарсан. Үү</w:t>
      </w:r>
      <w:r>
        <w:t>нээс үзвэл цалинтай ажилтны түүврийн сонголт нь үндсэн үр дүнд мэдэгдэхүйц хазайлт үүсгээгүй болно.</w:t>
      </w:r>
    </w:p>
    <w:p w14:paraId="2DA7E17F" w14:textId="77777777" w:rsidR="000B782D" w:rsidRDefault="0018275F">
      <w:pPr>
        <w:pStyle w:val="Heading2"/>
        <w:spacing w:after="120"/>
      </w:pPr>
      <w:r>
        <w:t>4.5.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OLS, псевдо-панел FE/RE, 2SLS, IVTR гэсэн дөрвөн шатлалт шинжилгээ нь </w:t>
      </w:r>
      <w:r>
        <w:t>нэгдмэл дүр зураг өгч байна. Хамгийн нарийвчилсан үнэлгээ болох IVTR нь боловсролын өгөөж шугаман биш, 13 жилийн босгоны хоёр талд ялгаатай бүтэцтэй болохыг баталсан. Энгийн OLS-ийн 6.8%-ийн дундаж нь уг бүтцийн хугарлыг далдалж буй нэгдсэн тоо байсан бөгө</w:t>
      </w:r>
      <w:r>
        <w:t>өд IVTR-ын регим 1 (5.5%) ба регим 2 (17.9%)-ийн дунд оршиж байгаа нь эдийн засгийн утгын хувьд цэгцтэй дүр зургийг гаргаж байна.</w:t>
      </w:r>
    </w:p>
    <w:p w14:paraId="5F0FC726" w14:textId="77777777" w:rsidR="000B782D" w:rsidRDefault="0018275F">
      <w:r>
        <w:br w:type="page"/>
      </w:r>
    </w:p>
    <w:p w14:paraId="7B57DF42" w14:textId="77777777" w:rsidR="000B782D" w:rsidRDefault="0018275F">
      <w:pPr>
        <w:pStyle w:val="Heading1"/>
        <w:spacing w:after="240"/>
      </w:pPr>
      <w:bookmarkStart w:id="22" w:name="_Toc227332440"/>
      <w:r>
        <w:rPr>
          <w:sz w:val="28"/>
        </w:rPr>
        <w:lastRenderedPageBreak/>
        <w:t>V БҮЛЭГ. ХЭЛЭЛЦҮҮЛЭГ</w:t>
      </w:r>
      <w:bookmarkEnd w:id="22"/>
    </w:p>
    <w:p w14:paraId="751CDABD" w14:textId="77777777" w:rsidR="000B782D" w:rsidRDefault="0018275F">
      <w:pPr>
        <w:pStyle w:val="Heading2"/>
        <w:spacing w:after="120"/>
      </w:pPr>
      <w:r>
        <w:t>5.1. Гол олдворуудын эдийн засгийн тайлбар</w:t>
      </w:r>
    </w:p>
    <w:p w14:paraId="6F0076EC" w14:textId="77777777" w:rsidR="000B782D" w:rsidRDefault="0018275F">
      <w:pPr>
        <w:ind w:firstLine="567"/>
        <w:jc w:val="both"/>
      </w:pPr>
      <w:r>
        <w:t xml:space="preserve">Энэхүү судалгааны гол эмпирик олдвор нь Монгол Улсын </w:t>
      </w:r>
      <w:r>
        <w:t>хөдөлмөрийн зах зээлд боловсролын өгөөж 13 жилийн босгон дээр эрс огцом үсрэлттэй байна гэдэг явдал юм. Уг босго нь санамсаргүй тохиолдсон зүйл биш, харин Монгол Улсын боловсролын тогтолцооны институцийн бүтцэд нягт холбоотой. 12 жилийн ерөнхий боловсрол н</w:t>
      </w:r>
      <w:r>
        <w:t>ь 2008 оны шинэчлэлээс хойш нэгдсэн стандарт болж, 13-ны жил нь МСҮТ-ийн эхний жил, коллежийн нэг жилийн бэлтгэл сургалт, их сургуулийн анхны курс зэрэгтэй тохирч байна.</w:t>
      </w:r>
    </w:p>
    <w:p w14:paraId="7FDF3C15" w14:textId="77777777" w:rsidR="000B782D" w:rsidRDefault="0018275F">
      <w:pPr>
        <w:ind w:firstLine="567"/>
        <w:jc w:val="both"/>
      </w:pPr>
      <w:r>
        <w:t>Уг бүтцийн хугарал нь Jaeger ба Page (1996)-ийн "дипломын нэмэгдэл" үзэгдэл (sheepskin</w:t>
      </w:r>
      <w:r>
        <w:t xml:space="preserve"> effect) болон Spence (1973)-ийн дохионы онолын (signaling) таамаглалтай бүрэн нийцэж байна. Ажил олгогчид боловсролыг жил тус бүрд нь биш, харин дипломын түвшнээр ялгаж, ажиллах хүчний чанарын дохио болгон ашигладаг. Монгол Улсад төрийн албанд орох шалгал</w:t>
      </w:r>
      <w:r>
        <w:t>т, эрүүл мэнд, боловсрол, хууль эрх зүй, санхүүгийн салбарт бакалаврын диплом хатуу шалгуур болдог тул диплом эзэмшсэн хүмүүс тусдаа өндөр цалингийн ангилалд хамаардаг. Мөн Ай Ар Ай Эм ХХК (2015)-ийн тайланд тэмдэглэснээр дээд боловсролтой иргэдийн ажилгүй</w:t>
      </w:r>
      <w:r>
        <w:t>длийн түвшин (5.6%) бусад түвшнийхээс доогуур байдаг нь дипломын институцийн үнэ цэнийг баталгаажуулж байна.</w:t>
      </w:r>
    </w:p>
    <w:p w14:paraId="3210F7AD" w14:textId="77777777" w:rsidR="000B782D" w:rsidRDefault="0018275F">
      <w:pPr>
        <w:ind w:firstLine="567"/>
        <w:jc w:val="both"/>
      </w:pPr>
      <w:r>
        <w:t>Мөн чухал нь, доод регимд илэрсэн 5.5%-ийн харьцангуй бага өгөөж нь Монголын ЕБС-ийн дунд шатны мэргэжлийн ур чадварын түвшинтэй уялдаатай юм. Ажил</w:t>
      </w:r>
      <w:r>
        <w:t>лах хүчний зах зээл дэх эрэлт хурдтай өөрчлөгдөж буй орчинд (мэдээллийн технологи, санхүү, гадаад хэл, нарийн мэргэжлийн техникийн ур чадвар), ЕБС-ийн сургалтын агуулга одоогийн ажил олгогчдын шаардлагад бүрэн нийцэж чадахгүй байна. Энэ нь Монголбанк-ны су</w:t>
      </w:r>
      <w:r>
        <w:t>длаач Болдбаатар (2017)-ын дурдсан боловсролын чанарыг бус жилийг хэмжих стандарт хандлагын сул талыг мөн илтгэж буй юм.</w:t>
      </w:r>
    </w:p>
    <w:p w14:paraId="4FFA800A" w14:textId="77777777" w:rsidR="000B782D" w:rsidRDefault="0018275F">
      <w:pPr>
        <w:pStyle w:val="Heading2"/>
        <w:spacing w:after="120"/>
      </w:pPr>
      <w:r>
        <w:t>5.2. Өмнөх судалгаануудтай харьцуулалт</w:t>
      </w:r>
    </w:p>
    <w:p w14:paraId="580ED174" w14:textId="77777777" w:rsidR="000B782D" w:rsidRDefault="0018275F">
      <w:pPr>
        <w:ind w:firstLine="567"/>
        <w:jc w:val="both"/>
      </w:pPr>
      <w:r>
        <w:t>Энэхүү судалгааны OLS+FE үнэлгээ (6.8%) нь Pastore (2010)-ийн 7–9%, Дэлхийн банкны Claudio ба Pa</w:t>
      </w:r>
      <w:r>
        <w:t xml:space="preserve">trinos (2014)-ийн 10.1% тооцоотой ерөнхийдөө нийцэж байна. Гэхдээ уг өмнөх бүтээлүүд нь нэг нэгдсэн дундаж үнэлгээг гаргаж, босгоны хоёр талын ялгааг далдлан харуулаагүй. Иймд бодлогын тайланд "Монголд боловсролын өгөөж </w:t>
      </w:r>
      <w:r>
        <w:lastRenderedPageBreak/>
        <w:t>дундаж 8% орчим" гэсэн нэг тооны дүр</w:t>
      </w:r>
      <w:r>
        <w:t xml:space="preserve"> зургийг бий болгосон нь бүх түвшний боловсролд ижил үр нөлөөтэй гэсэн төөрөгдүүлсэн ойлголтыг бий болгов.</w:t>
      </w:r>
    </w:p>
    <w:p w14:paraId="4B863677" w14:textId="77777777" w:rsidR="000B782D" w:rsidRDefault="0018275F">
      <w:pPr>
        <w:ind w:firstLine="567"/>
        <w:jc w:val="both"/>
      </w:pPr>
      <w:r>
        <w:t xml:space="preserve">Энэхүү судалгааны IVTR үр дүнг Pastore-ийн жигнэсэн дундаж тооцооллоор харахад: хэрэв түүврийн 40% нь 13 жилээс доош, 60% нь 13 жилээс дээш </w:t>
      </w:r>
      <w:r>
        <w:t>боловсролтой байсан гэж үзвэл, жигнэсэн дундаж нь 0.4 × 5.5% + 0.6 × 17.9% ≈ 12.9% байх ёстой. Энэ тоо OLS-д хязгаарлагдсан Pastore (2010)-ийн 7–9% үнэлгээнээс 40%-иар өндөр байх байсан. Зөрүү нь OLS-ийн доош чиглэсэн хэмжилтийн хазайлт болон босгыг огт ав</w:t>
      </w:r>
      <w:r>
        <w:t>ч үзээгүйгээс үүдсэн болох нь харагдаж байна.</w:t>
      </w:r>
    </w:p>
    <w:p w14:paraId="76E45F93" w14:textId="77777777" w:rsidR="000B782D" w:rsidRDefault="0018275F">
      <w:pPr>
        <w:ind w:firstLine="567"/>
        <w:jc w:val="both"/>
      </w:pPr>
      <w:r>
        <w:t xml:space="preserve">Олон улсын контекстэд Psacharopoulos ба Patrinos (2018)-ийн 139 орныг хамарсан мета-шинжилгээнд боловсролын өгөөжийн дэлхийн дундаж жилд 9.0%, дээд боловсролынх 14.6% гэж тогтоосон. Манай IVTR-ын дээд регимийн </w:t>
      </w:r>
      <w:r>
        <w:t>17.9% нь энэхүү олон улсын жишгээс даваад байна. Энэ нь хөгжиж буй орнуудын хөдөлмөрийн зах зээлийн онцлогт нийцдэг дүр зураг юм: дипломын хомсдлын үед итгэмжлэлийн үнэ цэнэ харьцангуй өндөр байдаг (Duflo, 2001).</w:t>
      </w:r>
    </w:p>
    <w:p w14:paraId="32337D45" w14:textId="77777777" w:rsidR="000B782D" w:rsidRDefault="0018275F">
      <w:pPr>
        <w:pStyle w:val="Heading2"/>
        <w:spacing w:after="120"/>
      </w:pPr>
      <w:r>
        <w:t>5.3. Судалгааны хязгаарлалтууд</w:t>
      </w:r>
    </w:p>
    <w:p w14:paraId="7C598512" w14:textId="77777777" w:rsidR="000B782D" w:rsidRDefault="0018275F">
      <w:pPr>
        <w:ind w:firstLine="567"/>
        <w:jc w:val="both"/>
      </w:pPr>
      <w:r>
        <w:t>Энэхүү судал</w:t>
      </w:r>
      <w:r>
        <w:t>гаа хэд хэдэн хязгаарлалттай болохыг ил тод хүлээн зөвшөөрөх шаардлагатай. Нэгдүгээрт, шинжилгээ нь зөвхөн цалинтай ажилтнуудын түүверт үндэслэгдсэн тул өөрийн бизнес эрхлэгчид болон албан бус секторын ажилчдыг хамраагүй. Энэ нь β-г бага зэрэг дээш чиглэсэ</w:t>
      </w:r>
      <w:r>
        <w:t>н хазайлтад орох магадлалтай гэж үзэж болно — учир нь өндөр боловсролтой хэрнээ өөрийн бизнесээр доогуур цалинтай байгаа ажилтнууд түүвэрт хамрагдаагүй. Хекманы засвар нь энэ хазайлтыг статистикийн хувьд ач холбогдолгүй гэж баталсан боловч үүнийг бүрэн ари</w:t>
      </w:r>
      <w:r>
        <w:t>лгаж чадаагүй.</w:t>
      </w:r>
    </w:p>
    <w:p w14:paraId="11530EE9" w14:textId="77777777" w:rsidR="000B782D" w:rsidRDefault="0018275F">
      <w:pPr>
        <w:ind w:firstLine="567"/>
        <w:jc w:val="both"/>
      </w:pPr>
      <w:r>
        <w:t>Хоёрдугаарт, 2016 ба 2018 оны давалгаанд төрсөн аймгийн мэдээлэл байхгүй байсан тул үндсэн IV шинжилгээнд оруулж чадаагүй. Энэ нь түүврийн хэмжээг багасгаж стандарт алдааг өсгөж болох боловч коэффициентийн хазайлт үүсгэхгүй гэдгийг тогтворто</w:t>
      </w:r>
      <w:r>
        <w:t>й байдлын шинжилгээнд баталсан. Гуравдугаарт, боловсролын чанарын хувьсагч (шалгалтын оноо, сургуулийн нэр, мэргэжлийн ангилал) ӨНЭЗС-д байхгүй тул зөвхөн боловсролын жилийн тоог ашиглахаас өөр аргагүй байсан. Ур чадварын далд хазайлтыг хэрэгсэл хувьсагч х</w:t>
      </w:r>
      <w:r>
        <w:t>эсэгчлэн засч байгаа боловч чанарын дотоод хэмжлийн зөрөөг бүрэн барих боломжгүй. Дараагийн судалгаанд ӨНЭЗС-д боловсролын чанарын үзүүлэлт нэмэх нь эдгээр хязгаарлалтыг арилгах чухал алхам болно.</w:t>
      </w:r>
    </w:p>
    <w:p w14:paraId="3A6FAE6D" w14:textId="77777777" w:rsidR="000B782D" w:rsidRDefault="0018275F">
      <w:r>
        <w:br w:type="page"/>
      </w:r>
    </w:p>
    <w:p w14:paraId="698364C3" w14:textId="77777777" w:rsidR="000B782D" w:rsidRDefault="0018275F">
      <w:pPr>
        <w:pStyle w:val="Heading1"/>
        <w:spacing w:after="240"/>
      </w:pPr>
      <w:bookmarkStart w:id="23" w:name="_Toc227332441"/>
      <w:r>
        <w:rPr>
          <w:sz w:val="28"/>
        </w:rPr>
        <w:lastRenderedPageBreak/>
        <w:t>VI БҮЛЭГ. ДҮГНЭЛТ БА БОДЛОГЫН САНАЛ</w:t>
      </w:r>
      <w:bookmarkEnd w:id="23"/>
    </w:p>
    <w:p w14:paraId="70BD6C85" w14:textId="77777777" w:rsidR="000B782D" w:rsidRDefault="0018275F">
      <w:pPr>
        <w:pStyle w:val="Heading2"/>
        <w:spacing w:after="120"/>
      </w:pPr>
      <w:r>
        <w:t>6.1.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OLS-ийн 6.8%-ийн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IVTR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OLS-ийн 6.8%-аас 2SLS-ийн 11.3%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Хойд Америкт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6.2.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IVTR-ын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1212.mn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IVTR-ын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