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r/>
      <w:r/>
    </w:p>
    <w:p w14:paraId="5A7AF499"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r/>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r/>
      <w:r/>
      <w:r/>
    </w:p>
    <w:p w14:paraId="093ACE10" w14:textId="77777777" w:rsidR="000B782D" w:rsidRDefault="0018275F">
      <w:pPr>
        <w:ind w:firstLine="567"/>
        <w:jc w:val="both"/>
      </w:pPr>
      <w:r>
        <w:t>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r/>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r/>
    </w:p>
    <w:p w14:paraId="77369DE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r/>
      <w:r/>
      <w:r/>
    </w:p>
    <w:p w14:paraId="05540102"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r/>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r/>
      <w:r/>
    </w:p>
    <w:p w14:paraId="129BF976"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r/>
      <w:r/>
    </w:p>
    <w:p w14:paraId="04BDCE5B"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r/>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r/>
      <w:r/>
      <w:r/>
    </w:p>
    <w:p w14:paraId="1C909CBB" w14:textId="77777777" w:rsidR="000B782D" w:rsidRDefault="0018275F">
      <w:pPr>
        <w:pStyle w:val="Heading2"/>
        <w:spacing w:after="120"/>
      </w:pPr>
      <w:r>
        <w:t>2.1. Минсерийн суурь тэгшитгэл</w:t>
      </w:r>
    </w:p>
    <w:p w14:paraId="72D960E9"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кластерласан хэлбэрээр тооцсон бөгөөд энэ нь нэг аймгийн доторх ажиглалтуудын хооронд үүсэх боломжит хамаарлыг харгалзан авна.</w:t>
      </w:r>
      <w:r/>
    </w:p>
    <w:p w14:paraId="2754323A" w14:textId="77777777" w:rsidR="000B782D" w:rsidRDefault="0018275F">
      <w:pPr>
        <w:pStyle w:val="Heading2"/>
        <w:spacing w:after="120"/>
      </w:pPr>
      <w:r>
        <w:t>2.2. Псевдо-панелийн тогтмол ба санамсаргүй нөлөөний загвар</w:t>
      </w:r>
      <w:r/>
    </w:p>
    <w:p w14:paraId="6417B20F"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ε̄_{ca,t}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N(0, σ_α^2) хэлбэрийн санамсаргүй хэмжигдэхүүн хэмээн үзнэ. Эдгээр загваруудын аль нь илүү тохиромжтой болохыг Хаусманы шалгуураар тогтоов:</w:t>
      </w:r>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r/>
    </w:p>
    <w:p w14:paraId="3EA00828" w14:textId="77777777" w:rsidR="000B782D" w:rsidRDefault="0018275F">
      <w:pPr>
        <w:pStyle w:val="Heading2"/>
        <w:spacing w:after="120"/>
      </w:pPr>
      <w:r>
        <w:t>2.3. Хоёр шатлалт хамгийн бага квадратын (ХШХБК) арга</w:t>
      </w:r>
    </w:p>
    <w:p w14:paraId="1C65CD56" w14:textId="77777777" w:rsidR="000B782D" w:rsidRDefault="0018275F">
      <w:pPr>
        <w:ind w:firstLine="567"/>
        <w:jc w:val="both"/>
      </w:pPr>
      <w:r>
        <w:t>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r/>
    </w:p>
    <w:p w14:paraId="088317D0"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r/>
      <w:r/>
      <w:r/>
    </w:p>
    <w:p w14:paraId="2835498D"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r/>
    </w:p>
    <w:p w14:paraId="34BE21E6" w14:textId="77777777" w:rsidR="000B782D" w:rsidRDefault="0018275F">
      <w:pPr>
        <w:pStyle w:val="Heading2"/>
        <w:spacing w:after="120"/>
      </w:pPr>
      <w:r>
        <w:t>2.4. Хэрэгсэл хувьсагчтай босго утгат регресс (ХХБР)</w:t>
      </w:r>
    </w:p>
    <w:p w14:paraId="7D273344" w14:textId="77777777" w:rsidR="000B782D" w:rsidRDefault="0018275F">
      <w:pPr>
        <w:ind w:firstLine="567"/>
        <w:jc w:val="both"/>
      </w:pPr>
      <w:r>
        <w:t>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r/>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r/>
    </w:p>
    <w:p w14:paraId="2C86422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r/>
      <w:r/>
    </w:p>
    <w:p w14:paraId="7F7D0831"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r/>
    </w:p>
    <w:p w14:paraId="7AB04086" w14:textId="77777777" w:rsidR="000B782D" w:rsidRDefault="0018275F">
      <w:pPr>
        <w:pStyle w:val="Heading2"/>
        <w:spacing w:after="120"/>
      </w:pPr>
      <w:r>
        <w:t>2.5. Үр дүнгийн бат бөх байдлын шинжилгээний бүтэц</w:t>
      </w:r>
    </w:p>
    <w:p w14:paraId="56A85747" w14:textId="77777777" w:rsidR="000B782D" w:rsidRDefault="0018275F">
      <w:pPr>
        <w:ind w:firstLine="567"/>
        <w:jc w:val="both"/>
      </w:pPr>
      <w:r>
        <w:t>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r/>
      <w:r/>
      <w:r/>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Өгөгдлийн эх сурвалж</w:t>
      </w:r>
    </w:p>
    <w:p w14:paraId="2E8FC538"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r/>
      <w:r/>
    </w:p>
    <w:p w14:paraId="5C8DB69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r/>
    </w:p>
    <w:p w14:paraId="43A33A2A" w14:textId="77777777" w:rsidR="000B782D" w:rsidRDefault="0018275F">
      <w:pPr>
        <w:pStyle w:val="Heading2"/>
        <w:spacing w:after="120"/>
      </w:pPr>
      <w:r>
        <w:t>3.2. Хувьсагчдын тодорхойлолт</w:t>
      </w:r>
      <w:r/>
    </w:p>
    <w:p w14:paraId="67FB3FA3" w14:textId="77777777" w:rsidR="000B782D" w:rsidRDefault="0018275F">
      <w:pPr>
        <w:ind w:firstLine="567"/>
        <w:jc w:val="both"/>
      </w:pPr>
      <w:r>
        <w:t>Судалгаанд ашигласан үндсэн хувьсагчдыг дараах таван бүлэгт ангилсан болно:</w:t>
      </w:r>
      <w:r/>
    </w:p>
    <w:p>
      <w:pPr/>
      <w:r>
        <w:t>- Хамааралтай хувьсагч: хувь хүний сарын хөдөлмөрийн орлогын натурал логарифм (ln(wage)).</w:t>
      </w:r>
    </w:p>
    <w:p>
      <w:pPr/>
      <w:r>
        <w:t>- Тайлбарлах гол хувьсагч: ажиллагчийн боловсролын нийт жил (educ).</w:t>
      </w:r>
    </w:p>
    <w:p>
      <w:pPr/>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pPr/>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pPr/>
      <w:r>
        <w:t>- Хэрэгсэл хувьсагчид: (i) төрсөн аймгийн 21 ангилал хувьсагч, (ii) сумын төвөөс Улаанбаатар хүртэлх шулуун зайн натурал логарифм, (iii) тухайн хүн 12 настай байх жилд төрсөн суманд ногдож байсан ерөнхий боловсролын сургуулийн багш, сурагчийн харьцаа.</w:t>
      </w:r>
    </w:p>
    <w:p>
      <w:pPr>
        <w:pStyle w:val="Heading2"/>
      </w:pPr>
      <w:r>
        <w:t>3.3. Хэрэгсэл хувьсагчдын тооцоолол</w:t>
      </w:r>
    </w:p>
    <w:p>
      <w:pPr/>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r/>
    </w:p>
    <w:p w14:paraId="2EB78E35" w14:textId="77777777" w:rsidR="000B782D" w:rsidRDefault="0018275F">
      <w:pPr>
        <w:pStyle w:val="Heading2"/>
        <w:spacing w:after="120"/>
      </w:pPr>
      <w:r>
        <w:t>3.4. Өгөгдлийн цэвэрлэгээ, нэгтгэлт</w:t>
      </w:r>
    </w:p>
    <w:p w14:paraId="52D7412C"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r/>
      <w:r/>
      <w:r/>
    </w:p>
    <w:p>
      <w:pPr/>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pPr/>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pPr/>
      <w:r>
        <w:t>- Ажлын туршлагын хувьсагчийг нас хасах боловсролын жил хасах зургаа гэсэн стандарт томьёогоор тооцон, туршлагын квадратыг хамтад нь оруулав.</w:t>
      </w:r>
    </w:p>
    <w:p>
      <w:pPr/>
      <w:r>
        <w:t>- Хяналтын хувьсагчдын кодыг бүх давалгаанд жигдрүүлж, эдийн засгийн салбарын ангиллыг есөн бүлэгт нэгтгэсэн.</w:t>
      </w:r>
    </w:p>
    <w:p>
      <w:pPr/>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pPr/>
      <w:r>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4B5A4B4B" w14:textId="77777777" w:rsidR="000B782D" w:rsidRDefault="0018275F">
      <w:pPr>
        <w:pStyle w:val="Heading2"/>
        <w:spacing w:after="120"/>
      </w:pPr>
      <w:r>
        <w:t>3.5. Өгөгдлийн товч статистик</w:t>
      </w:r>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r/>
      <w:r/>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r/>
      <w:r/>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r/>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pPr/>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0E54E709" w14:textId="77777777" w:rsidR="000B782D" w:rsidRDefault="0018275F">
      <w:pPr>
        <w:pStyle w:val="Heading2"/>
        <w:spacing w:after="120"/>
      </w:pPr>
      <w:r>
        <w:t>4.1. ЭХБК ба тогтмол нөлөөний үнэлгээ</w:t>
      </w:r>
    </w:p>
    <w:p w14:paraId="6A2FFABD"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r/>
      <w:r/>
      <w:r/>
    </w:p>
    <w:p w14:paraId="4DB326E3" w14:textId="77777777" w:rsidR="000B782D" w:rsidRDefault="0018275F">
      <w:pPr>
        <w:spacing w:before="240" w:after="60" w:line="276" w:lineRule="auto"/>
      </w:pPr>
      <w:bookmarkStart w:id="14" w:name="Tbl_3"/>
      <w:r>
        <w:rPr>
          <w:b/>
          <w:sz w:val="22"/>
        </w:rPr>
        <w:t>Хүснэгт 3  ЭХБК ба тогтмол нөлөөний үнэлгээний үр дүн</w:t>
      </w:r>
      <w:r>
        <w:rPr>
          <w:i/>
          <w:sz w:val="22"/>
        </w:rPr>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r>
        <w:rPr>
          <w:i/>
          <w:sz w:val="18"/>
        </w:rPr>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r/>
      <w:r/>
    </w:p>
    <w:p w14:paraId="0A26619C" w14:textId="77777777" w:rsidR="000B782D" w:rsidRDefault="0018275F">
      <w:pPr>
        <w:pStyle w:val="Heading2"/>
        <w:spacing w:after="120"/>
      </w:pPr>
      <w:r>
        <w:t>4.2. Хэрэгсэл хувьсагчтай (ХШХБК) үнэлгээ</w:t>
      </w:r>
    </w:p>
    <w:p w14:paraId="7D7B50B2"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r/>
    </w:p>
    <w:p w14:paraId="7ED3B140" w14:textId="77777777" w:rsidR="000B782D" w:rsidRDefault="0018275F">
      <w:pPr>
        <w:spacing w:before="240" w:after="60" w:line="276" w:lineRule="auto"/>
      </w:pPr>
      <w:bookmarkStart w:id="15" w:name="Tbl_4"/>
      <w:r>
        <w:rPr>
          <w:b/>
          <w:sz w:val="22"/>
        </w:rPr>
        <w:t>Хүснэгт 4  Хэрэгсэл хувьсагчтай (ХШХБК) үнэлгээний үр дүн</w:t>
      </w:r>
      <w:r>
        <w:rPr>
          <w:i/>
          <w:sz w:val="22"/>
        </w:rPr>
      </w:r>
      <w:r>
        <w:rPr>
          <w:i/>
          <w:sz w:val="22"/>
        </w:rPr>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r/>
      <w:r/>
    </w:p>
    <w:p w14:paraId="2EE5ECF6" w14:textId="77777777" w:rsidR="000B782D" w:rsidRDefault="0018275F">
      <w:pPr>
        <w:ind w:firstLine="567"/>
        <w:jc w:val="both"/>
      </w:pPr>
      <w:r>
        <w:t>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r/>
      <w:r/>
    </w:p>
    <w:p w14:paraId="45C06652" w14:textId="77777777" w:rsidR="000B782D" w:rsidRDefault="0018275F">
      <w:pPr>
        <w:pStyle w:val="Heading2"/>
        <w:spacing w:after="120"/>
      </w:pPr>
      <w:r>
        <w:t>4.3. Хэрэгсэл хувьсагчтай босго утгат регресс (ХХБР) — үндсэн үр дүн</w:t>
      </w:r>
      <w:r/>
    </w:p>
    <w:p w14:paraId="0122202D"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r/>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Хүснэгт 5  Хэрэгсэл хувьсагчтай босго утгат регресс (ХХБР) — үндсэн үр дүн</w:t>
      </w:r>
      <w:r>
        <w:rPr>
          <w:i/>
          <w:sz w:val="22"/>
        </w:rPr>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r>
        <w:rPr>
          <w:i/>
          <w:sz w:val="18"/>
        </w:rPr>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Зураг 4  Босгоор тусгаарлагдсан боловсролын хэрэгсэл хувьсагчтай өгөөж (Caner–Hansen ХХБР)</w:t>
      </w:r>
      <w:r>
        <w:rPr>
          <w:i/>
          <w:sz w:val="22"/>
        </w:rPr>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r/>
      <w:r/>
    </w:p>
    <w:p w14:paraId="6D34F182"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r/>
      <w:r/>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r/>
      <w:r/>
    </w:p>
    <w:p w14:paraId="52A48EB5" w14:textId="77777777" w:rsidR="000B782D" w:rsidRDefault="0018275F">
      <w:pPr>
        <w:spacing w:after="60"/>
        <w:jc w:val="center"/>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0E03A3C1" w14:textId="77777777" w:rsidR="000B782D" w:rsidRDefault="0018275F">
      <w:pPr>
        <w:spacing w:before="60" w:after="60" w:line="276" w:lineRule="auto"/>
        <w:jc w:val="center"/>
      </w:pPr>
      <w:bookmarkStart w:id="19" w:name="Fig_5"/>
      <w:r>
        <w:rPr>
          <w:b/>
          <w:sz w:val="22"/>
        </w:rPr>
        <w:t>Зураг 5  ЭХБК ба хэрэгсэл хувьсагчтай үнэлгээний давалгаа хоорондын харьцуулалт</w:t>
      </w:r>
      <w:r>
        <w:rPr>
          <w:i/>
          <w:sz w:val="22"/>
        </w:rPr>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Бат бөх байдлын шинжилгээ</w:t>
      </w:r>
    </w:p>
    <w:p w14:paraId="55E6101D"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Хүснэгт 6  Үндсэн үр дүнгийн бат бөх байдлын шинжилгээ (ЭХБК + тогтмол нөлөө)</w:t>
      </w:r>
      <w:r>
        <w:rPr>
          <w:i/>
          <w:sz w:val="22"/>
        </w:rPr>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r/>
      <w:r/>
    </w:p>
    <w:p w14:paraId="6B9AD345"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r/>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ЭХБК, псевдо-панел, ХШХБК, ХХБР гэсэн дөрвөн шатлалт шинжилгээ нь </w:t>
      </w:r>
      <w:r>
        <w:t>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буй нэгдсэн тоо байсан бөгө</w:t>
      </w:r>
      <w:r>
        <w:t>өд ХХБР-ын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ҮСХ-ны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