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Өгөгдлийн эх сурвалж</w:t>
      </w:r>
    </w:p>
    <w:p w14:paraId="2E8FC538"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r/>
    </w:p>
    <w:p w14:paraId="43A33A2A" w14:textId="77777777" w:rsidR="000B782D" w:rsidRDefault="0018275F">
      <w:pPr>
        <w:pStyle w:val="Heading2"/>
        <w:spacing w:after="120"/>
      </w:pPr>
      <w:r>
        <w:t>3.2. Хувьсагчдын тодорхойлолт</w:t>
      </w:r>
      <w:r/>
    </w:p>
    <w:p w14:paraId="67FB3FA3" w14:textId="77777777" w:rsidR="000B782D" w:rsidRDefault="0018275F">
      <w:pPr>
        <w:ind w:firstLine="567"/>
        <w:jc w:val="both"/>
      </w:pPr>
      <w:r>
        <w:t>Судалгаанд ашигласан үндсэн хувьсагчдыг дараах таван бүлэгт ангилсан болно:</w:t>
      </w:r>
      <w:r/>
    </w:p>
    <w:p>
      <w:pPr/>
      <w:r>
        <w:t>- Хамааралтай хувьсагч: хувь хүний сарын хөдөлмөрийн орлогын натурал логарифм (ln(wage)).</w:t>
      </w:r>
    </w:p>
    <w:p>
      <w:pPr/>
      <w:r>
        <w:t>- Тайлбарлах гол хувьсагч: ажиллагчийн боловсролын нийт жил (educ).</w:t>
      </w:r>
    </w:p>
    <w:p>
      <w:pPr/>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pPr/>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pPr/>
      <w:r>
        <w:t>- Хэрэгсэл хувьсагчид: (i) төрсөн аймгийн 21 ангилал хувьсагч, (ii) сумын төвөөс Улаанбаатар хүртэлх шулуун зайн натурал логарифм, (iii) тухайн хүн 12 настай байх жилд төрсөн суманд ногдож байсан ерөнхий боловсролын сургуулийн багш, сурагчийн харьцаа.</w:t>
      </w:r>
    </w:p>
    <w:p>
      <w:pPr>
        <w:pStyle w:val="Heading2"/>
      </w:pPr>
      <w:r>
        <w:t>3.3. Хэрэгсэл хувьсагчдын тооцоолол</w:t>
      </w:r>
    </w:p>
    <w:p>
      <w:pPr/>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r/>
    </w:p>
    <w:p w14:paraId="2EB78E35" w14:textId="77777777" w:rsidR="000B782D" w:rsidRDefault="0018275F">
      <w:pPr>
        <w:pStyle w:val="Heading2"/>
        <w:spacing w:after="120"/>
      </w:pPr>
      <w:r>
        <w:t>3.4. Өгөгдлийн цэвэрлэгээ, нэгтгэлт</w:t>
      </w:r>
    </w:p>
    <w:p w14:paraId="52D7412C"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r/>
      <w:r/>
      <w:r/>
    </w:p>
    <w:p>
      <w:pPr/>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pPr/>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pPr/>
      <w:r>
        <w:t>- Ажлын туршлагын хувьсагчийг нас хасах боловсролын жил хасах зургаа гэсэн стандарт томьёогоор тооцон, туршлагын квадратыг хамтад нь оруулав.</w:t>
      </w:r>
    </w:p>
    <w:p>
      <w:pPr/>
      <w:r>
        <w:t>- Хяналтын хувьсагчдын кодыг бүх давалгаанд жигдрүүлж, эдийн засгийн салбарын ангиллыг есөн бүлэгт нэгтгэсэн.</w:t>
      </w:r>
    </w:p>
    <w:p>
      <w:pPr/>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r>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4B5A4B4B" w14:textId="77777777" w:rsidR="000B782D" w:rsidRDefault="0018275F">
      <w:pPr>
        <w:pStyle w:val="Heading2"/>
        <w:spacing w:after="120"/>
      </w:pPr>
      <w:r>
        <w:t>3.5.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pPr/>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0E54E709" w14:textId="77777777" w:rsidR="000B782D" w:rsidRDefault="0018275F">
      <w:pPr>
        <w:pStyle w:val="Heading2"/>
        <w:spacing w:after="120"/>
      </w:pPr>
      <w:r>
        <w:t>4.1. ЭХБК ба тогтмол нөлөөний үнэлгээ</w:t>
      </w:r>
    </w:p>
    <w:p w14:paraId="6A2FFAB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r/>
      <w:r/>
      <w:r/>
    </w:p>
    <w:p w14:paraId="4DB326E3" w14:textId="77777777" w:rsidR="000B782D" w:rsidRDefault="0018275F">
      <w:pPr>
        <w:spacing w:before="240" w:after="60" w:line="276" w:lineRule="auto"/>
      </w:pPr>
      <w:bookmarkStart w:id="14" w:name="Tbl_3"/>
      <w:r>
        <w:rPr>
          <w:b/>
          <w:sz w:val="22"/>
        </w:rPr>
        <w:t>Хүснэгт 3  ЭХБК ба тогтмол нөлөөний үнэлгээний үр дүн</w:t>
      </w:r>
      <w:r>
        <w:rPr>
          <w:i/>
          <w:sz w:val="22"/>
        </w:rPr>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r>
        <w:rPr>
          <w:i/>
          <w:sz w:val="18"/>
        </w:rPr>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r/>
      <w:r/>
    </w:p>
    <w:p w14:paraId="0A26619C" w14:textId="77777777" w:rsidR="000B782D" w:rsidRDefault="0018275F">
      <w:pPr>
        <w:pStyle w:val="Heading2"/>
        <w:spacing w:after="120"/>
      </w:pPr>
      <w:r>
        <w:t>4.2. Хэрэгсэл хувьсагчтай (ХШХБК) үнэлгээ</w:t>
      </w:r>
    </w:p>
    <w:p w14:paraId="7D7B50B2"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r/>
    </w:p>
    <w:p w14:paraId="7ED3B140" w14:textId="77777777" w:rsidR="000B782D" w:rsidRDefault="0018275F">
      <w:pPr>
        <w:spacing w:before="240" w:after="60" w:line="276" w:lineRule="auto"/>
      </w:pPr>
      <w:bookmarkStart w:id="15" w:name="Tbl_4"/>
      <w:r>
        <w:rPr>
          <w:b/>
          <w:sz w:val="22"/>
        </w:rPr>
        <w:t>Хүснэгт 4  Хэрэгсэл хувьсагчтай (ХШХБК) үнэлгээний үр дүн</w:t>
      </w:r>
      <w:r>
        <w:rPr>
          <w:i/>
          <w:sz w:val="22"/>
        </w:rPr>
      </w:r>
      <w:r>
        <w:rPr>
          <w:i/>
          <w:sz w:val="22"/>
        </w:rPr>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r/>
      <w:r/>
    </w:p>
    <w:p w14:paraId="2EE5ECF6" w14:textId="77777777" w:rsidR="000B782D" w:rsidRDefault="0018275F">
      <w:pPr>
        <w:ind w:firstLine="567"/>
        <w:jc w:val="both"/>
      </w:pPr>
      <w:r>
        <w:t>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r/>
      <w:r/>
    </w:p>
    <w:p w14:paraId="45C06652" w14:textId="77777777" w:rsidR="000B782D" w:rsidRDefault="0018275F">
      <w:pPr>
        <w:pStyle w:val="Heading2"/>
        <w:spacing w:after="120"/>
      </w:pPr>
      <w:r>
        <w:t>4.3. Хэрэгсэл хувьсагчтай босго утгат регресс (ХХБР) — үндсэн үр дүн</w:t>
      </w:r>
      <w:r/>
    </w:p>
    <w:p w14:paraId="0122202D"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r/>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Хүснэгт 5  Хэрэгсэл хувьсагчтай босго утгат регресс (ХХБР) — үндсэн үр дүн</w:t>
      </w:r>
      <w:r>
        <w:rPr>
          <w:i/>
          <w:sz w:val="22"/>
        </w:rPr>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r>
        <w:rPr>
          <w:i/>
          <w:sz w:val="18"/>
        </w:rPr>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Зураг 4  Босгоор тусгаарлагдсан боловсролын хэрэгсэл хувьсагчтай өгөөж (Caner–Hansen ХХБР)</w:t>
      </w:r>
      <w:r>
        <w:rPr>
          <w:i/>
          <w:sz w:val="22"/>
        </w:rPr>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r/>
      <w:r/>
    </w:p>
    <w:p w14:paraId="6D34F182"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r/>
      <w:r/>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r/>
      <w:r/>
    </w:p>
    <w:p w14:paraId="52A48EB5" w14:textId="77777777" w:rsidR="000B782D" w:rsidRDefault="0018275F">
      <w:pPr>
        <w:spacing w:after="60"/>
        <w:jc w:val="center"/>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0E03A3C1" w14:textId="77777777" w:rsidR="000B782D" w:rsidRDefault="0018275F">
      <w:pPr>
        <w:spacing w:before="60" w:after="60" w:line="276" w:lineRule="auto"/>
        <w:jc w:val="center"/>
      </w:pPr>
      <w:bookmarkStart w:id="19" w:name="Fig_5"/>
      <w:r>
        <w:rPr>
          <w:b/>
          <w:sz w:val="22"/>
        </w:rPr>
        <w:t>Зураг 5  ЭХБК ба хэрэгсэл хувьсагчтай үнэлгээний давалгаа хоорондын харьцуулалт</w:t>
      </w:r>
      <w:r>
        <w:rPr>
          <w:i/>
          <w:sz w:val="22"/>
        </w:rPr>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Бат бөх байдлын шинжилгээ</w:t>
      </w:r>
    </w:p>
    <w:p w14:paraId="55E6101D"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Хүснэгт 6  Үндсэн үр дүнгийн бат бөх байдлын шинжилгээ (ЭХБК + тогтмол нөлөө)</w:t>
      </w:r>
      <w:r>
        <w:rPr>
          <w:i/>
          <w:sz w:val="22"/>
        </w:rPr>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r/>
      <w:r/>
    </w:p>
    <w:p w14:paraId="6B9AD345"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r/>
      <w:r/>
    </w:p>
    <w:p>
      <w:pPr>
        <w:pStyle w:val="Heading2"/>
      </w:pPr>
      <w:r>
        <w:t>4.5. Олон улсын туршлагатай харьцуулалт</w:t>
      </w:r>
    </w:p>
    <w:p>
      <w:pPr/>
      <w:r>
        <w:t>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pPr/>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pPr/>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2DA7E17F" w14:textId="77777777" w:rsidR="000B782D" w:rsidRDefault="0018275F">
      <w:pPr>
        <w:pStyle w:val="Heading2"/>
        <w:spacing w:after="120"/>
      </w:pPr>
      <w:r>
        <w:t>4.6.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698364C3" w14:textId="77777777" w:rsidR="000B782D" w:rsidRDefault="0018275F">
      <w:pPr>
        <w:pStyle w:val="Heading1"/>
        <w:spacing w:after="240"/>
      </w:pPr>
      <w:bookmarkStart w:id="23" w:name="_Toc227332441"/>
      <w:r>
        <w:rPr>
          <w:sz w:val="28"/>
        </w:rPr>
        <w:t>V БҮЛЭГ. ДҮГНЭЛТ БА БОДЛОГЫН САНАЛ</w:t>
      </w:r>
      <w:bookmarkEnd w:id="23"/>
    </w:p>
    <w:p w14:paraId="70BD6C85" w14:textId="77777777" w:rsidR="000B782D" w:rsidRDefault="0018275F">
      <w:pPr>
        <w:pStyle w:val="Heading2"/>
        <w:spacing w:after="120"/>
      </w:pPr>
      <w:r>
        <w:t>5.1.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ЭХБК-ийн 6.8 хувийн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ХХБР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ЭХБК-ийн 6.8 хувиас ХШХБК-ийн 11.3 хувь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Америкийн Нэгдсэн Улсад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5.2.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ХХБР-ийн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pPr>
        <w:pStyle w:val="Heading2"/>
      </w:pPr>
      <w:r>
        <w:t>5.3. Судалгааны хязгаарлалт, цаашдын судалгааны чиглэл</w:t>
      </w:r>
    </w:p>
    <w:p>
      <w:pPr/>
      <w:r>
        <w:t>Энэхүү судалгаа нь хэд хэдэн хязгаарлалттай болохыг ил тод хүлээн зөвшөөрөх шаардлагатай. Нэгдүгээрт, шинжилгээ нь зөвхөн цалин хөлстэй ажиллагчдын түүвэрт үндэслэсэн тул өөрийн бизнес эрхлэгчид болон албан бус салбарын ажиллагчдыг хамаараагүй. Энэ нь β-г бага зэрэг дээш чиглэсэн хазайлтад оруулах магадлалтай — учир нь өндөр боловсролтой ч өөрийн бизнесээр бага орлоготой байгаа ажиллагчид түүвэрт орох боломжгүй. Хекманы засвар нь уг хазайлтыг статистикийн хувьд ач холбогдолгүй гэж баталсан хэдий ч бүрэн арилгаж чадаагүй.</w:t>
      </w:r>
    </w:p>
    <w:p>
      <w:pPr/>
      <w:r>
        <w:t>Хоёрдугаарт, 2016, 2018 оны ӨНЭЗС-ийн давалгаанд төрсөн аймгийн мэдээлэл оруулаагүй байсан тул үндсэн хэрэгсэл хувьсагчтай шинжилгээнд оруулж чадаагүй. Энэ нь түүврийн хэмжээг багасгаж стандарт алдааг өсгөж болох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ялгааг бүрэн барих боломжгүй. Цаашдын судалгаанд ӨНЭЗС-д боловсролын чанарын үзүүлэлтийг нэмж оруулах нь эдгээр хязгаарлалтыг арилгах чухал алхам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ХХБР-ийн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