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Хүснэгт 3. ЭХБК ба тогтмол нөлөөний үнэлгээний үр дүн</w:t>
        <w:tab/>
        <w:t>24</w:t>
      </w:r>
      <w:r/>
      <w:r/>
      <w:r/>
      <w:r/>
      <w:r/>
      <w:r/>
      <w:r w:rsidR="00696DCE">
        <w:rPr>
          <w:noProof/>
        </w:rPr>
      </w:r>
      <w:r/>
    </w:p>
    <w:p w14:paraId="49835C1E" w14:textId="77777777" w:rsidR="000B782D" w:rsidRDefault="0018275F">
      <w:pPr>
        <w:tabs>
          <w:tab w:val="right" w:leader="dot" w:pos="9071"/>
        </w:tabs>
        <w:spacing w:before="0" w:line="276" w:lineRule="auto"/>
      </w:pPr>
      <w:r>
        <w:rPr>
          <w:b/>
        </w:rPr>
        <w:t>Хүснэгт 4. Хэрэгсэл хувьсагчтай (ХШХБК) үнэлгээний үр дүн</w:t>
        <w:tab/>
        <w:t>25</w:t>
      </w:r>
      <w:r/>
      <w:r/>
      <w:r/>
      <w:r/>
      <w:r/>
      <w:r w:rsidR="00696DCE">
        <w:rPr>
          <w:noProof/>
        </w:rPr>
      </w:r>
      <w:r/>
    </w:p>
    <w:p w14:paraId="4F71D1B3" w14:textId="77777777" w:rsidR="000B782D" w:rsidRDefault="0018275F">
      <w:pPr>
        <w:tabs>
          <w:tab w:val="right" w:leader="dot" w:pos="9071"/>
        </w:tabs>
        <w:spacing w:before="0" w:line="276" w:lineRule="auto"/>
      </w:pPr>
      <w:r>
        <w:rPr>
          <w:b/>
        </w:rPr>
        <w:t>Хүснэгт 5. Хэрэгсэл хувьсагчтай босго утгат регресс (ХХБР) — үндсэн үр дүн</w:t>
        <w:tab/>
        <w:t>26</w:t>
      </w:r>
      <w:r/>
      <w:r/>
      <w:r/>
      <w:r/>
      <w:r/>
      <w:r/>
      <w:r w:rsidR="00696DCE">
        <w:rPr>
          <w:noProof/>
        </w:rPr>
      </w:r>
      <w:r/>
    </w:p>
    <w:p w14:paraId="5C86A1F5" w14:textId="77777777" w:rsidR="000B782D" w:rsidRDefault="0018275F">
      <w:pPr>
        <w:tabs>
          <w:tab w:val="right" w:leader="dot" w:pos="9071"/>
        </w:tabs>
        <w:spacing w:before="0" w:line="276" w:lineRule="auto"/>
      </w:pPr>
      <w:r>
        <w:rPr>
          <w:b/>
        </w:rPr>
        <w:t>Хүснэгт 6. Үндсэн үр дүнгийн бат бөх байдлын шинжилгээ</w:t>
        <w:tab/>
        <w:t>29</w:t>
      </w:r>
      <w:r/>
      <w:r/>
      <w:r/>
      <w:r/>
      <w:r/>
      <w:r w:rsidR="00696DCE">
        <w:rPr>
          <w:noProof/>
        </w:rPr>
      </w:r>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Зураг 4. Босгоор тусгаарлагдсан боловсролын хэрэгсэл хувьсагчтай өгөөж (Caner–Hansen ХХБР)</w:t>
        <w:tab/>
        <w:t>27</w:t>
      </w:r>
      <w:r/>
      <w:r/>
      <w:r/>
      <w:r/>
      <w:r/>
      <w:r w:rsidR="00696DCE">
        <w:rPr>
          <w:noProof/>
        </w:rPr>
      </w:r>
      <w:r/>
    </w:p>
    <w:p w14:paraId="5B301B69" w14:textId="77777777" w:rsidR="000B782D" w:rsidRDefault="0018275F">
      <w:pPr>
        <w:tabs>
          <w:tab w:val="right" w:leader="dot" w:pos="9071"/>
        </w:tabs>
        <w:spacing w:before="0" w:line="276" w:lineRule="auto"/>
      </w:pPr>
      <w:r>
        <w:rPr>
          <w:b/>
        </w:rPr>
        <w:t>Зураг 5. ЭХБК ба хэрэгсэл хувьсагчтай үнэлгээний давалгаа хоорондын харьцуулалт</w:t>
        <w:tab/>
        <w:t>29</w:t>
      </w:r>
      <w:r>
        <w:rPr>
          <w:b/>
        </w:rPr>
      </w:r>
      <w:r/>
      <w:r/>
      <w:r/>
      <w:r/>
      <w:r/>
      <w:r w:rsidR="00696DCE">
        <w:rPr>
          <w:noProof/>
        </w:rPr>
      </w:r>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pPr/>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0E54E709" w14:textId="77777777" w:rsidR="000B782D" w:rsidRDefault="0018275F">
      <w:pPr>
        <w:pStyle w:val="Heading2"/>
        <w:spacing w:after="120"/>
      </w:pPr>
      <w:r>
        <w:t>4.1. ЭХБК ба тогтмол нөлөөний үнэлгээ</w:t>
      </w:r>
    </w:p>
    <w:p w14:paraId="6A2FFAB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r/>
      <w:r/>
      <w:r/>
    </w:p>
    <w:p w14:paraId="4DB326E3" w14:textId="77777777" w:rsidR="000B782D" w:rsidRDefault="0018275F">
      <w:pPr>
        <w:spacing w:before="240" w:after="60" w:line="276" w:lineRule="auto"/>
      </w:pPr>
      <w:bookmarkStart w:id="14" w:name="Tbl_3"/>
      <w:r>
        <w:rPr>
          <w:b/>
          <w:sz w:val="22"/>
        </w:rPr>
        <w:t>Хүснэгт 3  ЭХБК ба тогтмол нөлөөний үнэлгээний үр дүн</w:t>
      </w:r>
      <w:r>
        <w:rPr>
          <w:i/>
          <w:sz w:val="22"/>
        </w:rPr>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r>
        <w:rPr>
          <w:i/>
          <w:sz w:val="18"/>
        </w:rPr>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r/>
      <w:r/>
    </w:p>
    <w:p w14:paraId="0A26619C" w14:textId="77777777" w:rsidR="000B782D" w:rsidRDefault="0018275F">
      <w:pPr>
        <w:pStyle w:val="Heading2"/>
        <w:spacing w:after="120"/>
      </w:pPr>
      <w:r>
        <w:t>4.2. Хэрэгсэл хувьсагчтай (ХШХБК) үнэлгээ</w:t>
      </w:r>
    </w:p>
    <w:p w14:paraId="7D7B50B2"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r/>
    </w:p>
    <w:p w14:paraId="7ED3B140" w14:textId="77777777" w:rsidR="000B782D" w:rsidRDefault="0018275F">
      <w:pPr>
        <w:spacing w:before="240" w:after="60" w:line="276" w:lineRule="auto"/>
      </w:pPr>
      <w:bookmarkStart w:id="15" w:name="Tbl_4"/>
      <w:r>
        <w:rPr>
          <w:b/>
          <w:sz w:val="22"/>
        </w:rPr>
        <w:t>Хүснэгт 4  Хэрэгсэл хувьсагчтай (ХШХБК) үнэлгээний үр дүн</w:t>
      </w:r>
      <w:r>
        <w:rPr>
          <w:i/>
          <w:sz w:val="22"/>
        </w:rPr>
      </w:r>
      <w:r>
        <w:rPr>
          <w:i/>
          <w:sz w:val="22"/>
        </w:rPr>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r/>
      <w:r/>
    </w:p>
    <w:p w14:paraId="2EE5ECF6" w14:textId="77777777" w:rsidR="000B782D" w:rsidRDefault="0018275F">
      <w:pPr>
        <w:ind w:firstLine="567"/>
        <w:jc w:val="both"/>
      </w:pPr>
      <w:r>
        <w:t>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r/>
      <w:r/>
    </w:p>
    <w:p w14:paraId="45C06652" w14:textId="77777777" w:rsidR="000B782D" w:rsidRDefault="0018275F">
      <w:pPr>
        <w:pStyle w:val="Heading2"/>
        <w:spacing w:after="120"/>
      </w:pPr>
      <w:r>
        <w:t>4.3. Хэрэгсэл хувьсагчтай босго утгат регресс (ХХБР) — үндсэн үр дүн</w:t>
      </w:r>
      <w:r/>
    </w:p>
    <w:p w14:paraId="0122202D"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r/>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Хүснэгт 5  Хэрэгсэл хувьсагчтай босго утгат регресс (ХХБР) — үндсэн үр дүн</w:t>
      </w:r>
      <w:r>
        <w:rPr>
          <w:i/>
          <w:sz w:val="22"/>
        </w:rPr>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r>
        <w:rPr>
          <w:i/>
          <w:sz w:val="18"/>
        </w:rPr>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Зураг 4  Босгоор тусгаарлагдсан боловсролын хэрэгсэл хувьсагчтай өгөөж (Caner–Hansen ХХБР)</w:t>
      </w:r>
      <w:r>
        <w:rPr>
          <w:i/>
          <w:sz w:val="22"/>
        </w:rPr>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r/>
      <w:r/>
    </w:p>
    <w:p w14:paraId="6D34F182"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r/>
      <w:r/>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r/>
      <w:r/>
    </w:p>
    <w:p w14:paraId="52A48EB5" w14:textId="77777777" w:rsidR="000B782D" w:rsidRDefault="0018275F">
      <w:pPr>
        <w:spacing w:after="60"/>
        <w:jc w:val="center"/>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0E03A3C1" w14:textId="77777777" w:rsidR="000B782D" w:rsidRDefault="0018275F">
      <w:pPr>
        <w:spacing w:before="60" w:after="60" w:line="276" w:lineRule="auto"/>
        <w:jc w:val="center"/>
      </w:pPr>
      <w:bookmarkStart w:id="19" w:name="Fig_5"/>
      <w:r>
        <w:rPr>
          <w:b/>
          <w:sz w:val="22"/>
        </w:rPr>
        <w:t>Зураг 5  ЭХБК ба хэрэгсэл хувьсагчтай үнэлгээний давалгаа хоорондын харьцуулалт</w:t>
      </w:r>
      <w:r>
        <w:rPr>
          <w:i/>
          <w:sz w:val="22"/>
        </w:rPr>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Бат бөх байдлын шинжилгээ</w:t>
      </w:r>
    </w:p>
    <w:p w14:paraId="55E6101D"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Хүснэгт 6  Үндсэн үр дүнгийн бат бөх байдлын шинжилгээ (ЭХБК + тогтмол нөлөө)</w:t>
      </w:r>
      <w:r>
        <w:rPr>
          <w:i/>
          <w:sz w:val="22"/>
        </w:rPr>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r/>
      <w:r/>
    </w:p>
    <w:p w14:paraId="6B9AD345"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r/>
      <w:r/>
    </w:p>
    <w:p>
      <w:pPr>
        <w:pStyle w:val="Heading2"/>
      </w:pPr>
      <w:r>
        <w:t>4.5. Олон улсын туршлагатай харьцуулалт</w:t>
      </w:r>
    </w:p>
    <w:p>
      <w:pPr/>
      <w:r>
        <w:t>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pPr/>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pPr/>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2DA7E17F" w14:textId="77777777" w:rsidR="000B782D" w:rsidRDefault="0018275F">
      <w:pPr>
        <w:pStyle w:val="Heading2"/>
        <w:spacing w:after="120"/>
      </w:pPr>
      <w:r>
        <w:t>4.6.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698364C3" w14:textId="77777777" w:rsidR="000B782D" w:rsidRDefault="0018275F">
      <w:pPr>
        <w:pStyle w:val="Heading1"/>
        <w:spacing w:after="240"/>
      </w:pPr>
      <w:bookmarkStart w:id="23" w:name="_Toc227332441"/>
      <w:r>
        <w:rPr>
          <w:sz w:val="28"/>
        </w:rPr>
        <w:t>V БҮЛЭГ. ДҮГНЭЛТ БА БОДЛОГЫН САНАЛ</w:t>
      </w:r>
      <w:bookmarkEnd w:id="23"/>
    </w:p>
    <w:p w14:paraId="70BD6C85" w14:textId="77777777" w:rsidR="000B782D" w:rsidRDefault="0018275F">
      <w:pPr>
        <w:pStyle w:val="Heading2"/>
        <w:spacing w:after="120"/>
      </w:pPr>
      <w:r>
        <w:t>5.1. Үндсэн дүгнэлт</w:t>
      </w:r>
    </w:p>
    <w:p w14:paraId="2DF928CC"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r/>
    </w:p>
    <w:p w14:paraId="4A9EE4F6"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r/>
      <w:r/>
    </w:p>
    <w:p w14:paraId="4CC29CD0"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r/>
      <w:r/>
    </w:p>
    <w:p w14:paraId="6106C388"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r/>
      <w:r/>
    </w:p>
    <w:p w14:paraId="5B882ECB" w14:textId="77777777" w:rsidR="000B782D" w:rsidRDefault="0018275F">
      <w:pPr>
        <w:pStyle w:val="Heading2"/>
        <w:spacing w:after="120"/>
      </w:pPr>
      <w:r>
        <w:t>5.2. Бодлогын санал</w:t>
      </w:r>
    </w:p>
    <w:p w14:paraId="1277FB4A"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r/>
    </w:p>
    <w:p w14:paraId="1FEFFBAF"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r/>
      <w:r/>
      <w:r/>
    </w:p>
    <w:p w14:paraId="54972C15"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r>
        <w:rPr>
          <w:b/>
        </w:rPr>
      </w:r>
      <w:r/>
      <w:r/>
    </w:p>
    <w:p w14:paraId="468314B8"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r>
        <w:rPr>
          <w:b/>
        </w:rPr>
      </w:r>
      <w:r/>
      <w:r/>
    </w:p>
    <w:p>
      <w:pPr>
        <w:pStyle w:val="Heading2"/>
      </w:pPr>
      <w:r>
        <w:t>5.3. Судалгааны хязгаарлалт, цаашдын судалгааны чиглэл</w:t>
      </w:r>
    </w:p>
    <w:p>
      <w:pPr/>
      <w:r>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pPr/>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pPr/>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pPr/>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data.table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05_ivtr_caner_hansen.R скриптэд 180 орчим мөртэйгээр бичигдсэн.</w:t>
      </w:r>
      <w:r/>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