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F7E12" w14:textId="77777777" w:rsidR="00020E13" w:rsidRPr="000A6EA8" w:rsidRDefault="00020E13" w:rsidP="00020E13">
      <w:pPr>
        <w:spacing w:before="12" w:after="12"/>
        <w:ind w:right="5"/>
        <w:jc w:val="both"/>
        <w:rPr>
          <w:b/>
          <w:noProof/>
          <w:color w:val="000000"/>
        </w:rPr>
      </w:pPr>
    </w:p>
    <w:p w14:paraId="4550764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3AD6A2D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730ECA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AF40D34"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FAB366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6528480"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56B20B19"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760ADCE"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2F864A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E39D93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7C500E6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45F21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7A8E6754" w14:textId="77777777" w:rsidTr="0020015E">
        <w:tc>
          <w:tcPr>
            <w:tcW w:w="3018" w:type="dxa"/>
          </w:tcPr>
          <w:p w14:paraId="64663B3E"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40FBAB44"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11E61F3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447DD04"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3F6B51A"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58F6AD4F" w14:textId="77777777" w:rsidTr="0020015E">
        <w:tc>
          <w:tcPr>
            <w:tcW w:w="3018" w:type="dxa"/>
          </w:tcPr>
          <w:p w14:paraId="441F0D42" w14:textId="77777777" w:rsidR="004E014E" w:rsidRPr="000A6EA8" w:rsidRDefault="004E014E" w:rsidP="004E014E">
            <w:pPr>
              <w:spacing w:before="12" w:after="12"/>
              <w:ind w:right="5"/>
              <w:jc w:val="both"/>
              <w:rPr>
                <w:bCs/>
                <w:i/>
                <w:iCs/>
                <w:noProof/>
                <w:color w:val="000000"/>
                <w:lang w:val="mn-MN"/>
              </w:rPr>
            </w:pPr>
          </w:p>
        </w:tc>
        <w:tc>
          <w:tcPr>
            <w:tcW w:w="1093" w:type="dxa"/>
          </w:tcPr>
          <w:p w14:paraId="764C6DAC" w14:textId="77777777" w:rsidR="004E014E" w:rsidRPr="000A6EA8" w:rsidRDefault="004E014E" w:rsidP="004E014E">
            <w:pPr>
              <w:spacing w:before="12" w:after="12"/>
              <w:ind w:right="5"/>
              <w:jc w:val="both"/>
              <w:rPr>
                <w:bCs/>
                <w:i/>
                <w:iCs/>
                <w:noProof/>
                <w:color w:val="000000"/>
                <w:lang w:val="mn-MN"/>
              </w:rPr>
            </w:pPr>
          </w:p>
        </w:tc>
        <w:tc>
          <w:tcPr>
            <w:tcW w:w="4944" w:type="dxa"/>
          </w:tcPr>
          <w:p w14:paraId="6D18515F" w14:textId="77777777" w:rsidR="004E014E" w:rsidRPr="00F661F4" w:rsidRDefault="0018275F"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7BD23003" w14:textId="77777777" w:rsidTr="0020015E">
        <w:tc>
          <w:tcPr>
            <w:tcW w:w="3018" w:type="dxa"/>
          </w:tcPr>
          <w:p w14:paraId="0A639D0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8BA3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9FFF7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74BE159F" w14:textId="77777777" w:rsidTr="0020015E">
        <w:tc>
          <w:tcPr>
            <w:tcW w:w="3018" w:type="dxa"/>
          </w:tcPr>
          <w:p w14:paraId="4988DA4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222B95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139EC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061D630A" w14:textId="77777777" w:rsidTr="0020015E">
        <w:tc>
          <w:tcPr>
            <w:tcW w:w="3018" w:type="dxa"/>
          </w:tcPr>
          <w:p w14:paraId="3B5067E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6AFCFF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1CAA4B3"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0FDB8668" w14:textId="77777777" w:rsidTr="0020015E">
        <w:tc>
          <w:tcPr>
            <w:tcW w:w="3018" w:type="dxa"/>
          </w:tcPr>
          <w:p w14:paraId="306D1B6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4C1DF3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C9C3649"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14E8A085" w14:textId="77777777" w:rsidTr="0020015E">
        <w:tc>
          <w:tcPr>
            <w:tcW w:w="3018" w:type="dxa"/>
          </w:tcPr>
          <w:p w14:paraId="73C00F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15474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5BC6DC" w14:textId="77777777" w:rsidR="004E014E" w:rsidRPr="000A6EA8" w:rsidRDefault="004E014E" w:rsidP="004E014E">
            <w:pPr>
              <w:spacing w:before="12" w:after="12"/>
              <w:ind w:right="5"/>
              <w:jc w:val="both"/>
              <w:rPr>
                <w:rFonts w:cs="Times New Roman"/>
              </w:rPr>
            </w:pPr>
          </w:p>
        </w:tc>
      </w:tr>
      <w:tr w:rsidR="004E014E" w:rsidRPr="000A6EA8" w14:paraId="2D618107" w14:textId="77777777" w:rsidTr="0020015E">
        <w:tc>
          <w:tcPr>
            <w:tcW w:w="3018" w:type="dxa"/>
          </w:tcPr>
          <w:p w14:paraId="3B62C3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F0979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6F3ADD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0EB0945F" w14:textId="77777777" w:rsidTr="0020015E">
        <w:tc>
          <w:tcPr>
            <w:tcW w:w="3018" w:type="dxa"/>
          </w:tcPr>
          <w:p w14:paraId="109FB48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9DE31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3C2C6878"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936B3AB" w14:textId="77777777" w:rsidTr="0020015E">
        <w:tc>
          <w:tcPr>
            <w:tcW w:w="3018" w:type="dxa"/>
          </w:tcPr>
          <w:p w14:paraId="2738ACA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4440F4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0A1E3D"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1712CE22" w14:textId="77777777" w:rsidTr="0020015E">
        <w:tc>
          <w:tcPr>
            <w:tcW w:w="3018" w:type="dxa"/>
          </w:tcPr>
          <w:p w14:paraId="2297991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CD8DC6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68C151E" w14:textId="77777777" w:rsidR="004E014E" w:rsidRPr="000A6EA8" w:rsidRDefault="004E014E" w:rsidP="004E014E">
            <w:pPr>
              <w:spacing w:before="12" w:after="12"/>
              <w:ind w:right="5"/>
              <w:jc w:val="both"/>
              <w:rPr>
                <w:rFonts w:cs="Times New Roman"/>
              </w:rPr>
            </w:pPr>
          </w:p>
        </w:tc>
      </w:tr>
      <w:tr w:rsidR="004E014E" w:rsidRPr="000A6EA8" w14:paraId="55C39C3E" w14:textId="77777777" w:rsidTr="0020015E">
        <w:tc>
          <w:tcPr>
            <w:tcW w:w="3018" w:type="dxa"/>
          </w:tcPr>
          <w:p w14:paraId="477AA49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7096E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FF06E48"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4633DDF4" w14:textId="77777777" w:rsidTr="0020015E">
        <w:tc>
          <w:tcPr>
            <w:tcW w:w="3018" w:type="dxa"/>
          </w:tcPr>
          <w:p w14:paraId="4C4DD96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19B21C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6CDBAB"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D87B3BB" w14:textId="77777777" w:rsidTr="0020015E">
        <w:tc>
          <w:tcPr>
            <w:tcW w:w="3018" w:type="dxa"/>
          </w:tcPr>
          <w:p w14:paraId="4ED6A14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AF5C6C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1D7C404"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A06E473" w14:textId="77777777" w:rsidR="0050713E" w:rsidRDefault="0050713E" w:rsidP="006B57EB">
      <w:pPr>
        <w:spacing w:before="12" w:after="12"/>
        <w:ind w:right="5"/>
        <w:rPr>
          <w:bCs/>
          <w:noProof/>
          <w:color w:val="000000"/>
          <w:lang w:val="mn-MN"/>
        </w:rPr>
      </w:pPr>
    </w:p>
    <w:p w14:paraId="0576EF9D"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ED319B9" w14:textId="702BE07B" w:rsidR="000B782D" w:rsidRDefault="000B782D"/>
    <w:p w14:paraId="438EB72F" w14:textId="77777777" w:rsidR="000B782D" w:rsidRDefault="0018275F">
      <w:pPr>
        <w:pStyle w:val="Heading1"/>
        <w:spacing w:after="240"/>
      </w:pPr>
      <w:bookmarkStart w:id="0" w:name="_Toc227332430"/>
      <w:r>
        <w:rPr>
          <w:sz w:val="28"/>
        </w:rPr>
        <w:t>АГУУЛГА</w:t>
      </w:r>
      <w:bookmarkEnd w:id="0"/>
    </w:p>
    <w:p w14:paraId="55164BE8" w14:textId="77777777" w:rsidR="00696DCE" w:rsidRDefault="0018275F">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"1-1" \h \z \u </w:instrText>
      </w:r>
      <w:r>
        <w:fldChar w:fldCharType="separate"/>
      </w:r>
      <w:hyperlink w:anchor="_Toc227332430" w:history="1">
        <w:r w:rsidR="00696DCE" w:rsidRPr="00C72744">
          <w:rPr>
            <w:rStyle w:val="Hyperlink"/>
            <w:noProof/>
          </w:rPr>
          <w:t>АГУУЛГА</w:t>
        </w:r>
        <w:r w:rsidR="00696DCE">
          <w:rPr>
            <w:noProof/>
            <w:webHidden/>
          </w:rPr>
          <w:tab/>
        </w:r>
        <w:r w:rsidR="00696DCE">
          <w:rPr>
            <w:noProof/>
            <w:webHidden/>
          </w:rPr>
          <w:fldChar w:fldCharType="begin"/>
        </w:r>
        <w:r w:rsidR="00696DCE">
          <w:rPr>
            <w:noProof/>
            <w:webHidden/>
          </w:rPr>
          <w:instrText xml:space="preserve"> PAGEREF _Toc227332430 \h </w:instrText>
        </w:r>
        <w:r w:rsidR="00696DCE">
          <w:rPr>
            <w:noProof/>
            <w:webHidden/>
          </w:rPr>
        </w:r>
        <w:r w:rsidR="00696DCE">
          <w:rPr>
            <w:noProof/>
            <w:webHidden/>
          </w:rPr>
          <w:fldChar w:fldCharType="separate"/>
        </w:r>
        <w:r w:rsidR="00696DCE">
          <w:rPr>
            <w:noProof/>
            <w:webHidden/>
          </w:rPr>
          <w:t>3</w:t>
        </w:r>
        <w:r w:rsidR="00696DCE">
          <w:rPr>
            <w:noProof/>
            <w:webHidden/>
          </w:rPr>
          <w:fldChar w:fldCharType="end"/>
        </w:r>
      </w:hyperlink>
    </w:p>
    <w:p w14:paraId="536AE83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1" w:history="1">
        <w:r w:rsidRPr="00C72744">
          <w:rPr>
            <w:rStyle w:val="Hyperlink"/>
            <w:noProof/>
          </w:rPr>
          <w:t>ХҮСНЭГТЭН МЭДЭЭЛЛИЙН ЖАГСААЛТ</w:t>
        </w:r>
        <w:r>
          <w:rPr>
            <w:noProof/>
            <w:webHidden/>
          </w:rPr>
          <w:tab/>
        </w:r>
        <w:r>
          <w:rPr>
            <w:noProof/>
            <w:webHidden/>
          </w:rPr>
          <w:fldChar w:fldCharType="begin"/>
        </w:r>
        <w:r>
          <w:rPr>
            <w:noProof/>
            <w:webHidden/>
          </w:rPr>
          <w:instrText xml:space="preserve"> PAGEREF _Toc227332431 \h </w:instrText>
        </w:r>
        <w:r>
          <w:rPr>
            <w:noProof/>
            <w:webHidden/>
          </w:rPr>
        </w:r>
        <w:r>
          <w:rPr>
            <w:noProof/>
            <w:webHidden/>
          </w:rPr>
          <w:fldChar w:fldCharType="separate"/>
        </w:r>
        <w:r>
          <w:rPr>
            <w:noProof/>
            <w:webHidden/>
          </w:rPr>
          <w:t>4</w:t>
        </w:r>
        <w:r>
          <w:rPr>
            <w:noProof/>
            <w:webHidden/>
          </w:rPr>
          <w:fldChar w:fldCharType="end"/>
        </w:r>
      </w:hyperlink>
    </w:p>
    <w:p w14:paraId="475B2CCB"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2" w:history="1">
        <w:r w:rsidRPr="00C72744">
          <w:rPr>
            <w:rStyle w:val="Hyperlink"/>
            <w:noProof/>
          </w:rPr>
          <w:t>ЗУРГАН МЭДЭЭЛЛИЙН ЖАГСААЛТ</w:t>
        </w:r>
        <w:r>
          <w:rPr>
            <w:noProof/>
            <w:webHidden/>
          </w:rPr>
          <w:tab/>
        </w:r>
        <w:r>
          <w:rPr>
            <w:noProof/>
            <w:webHidden/>
          </w:rPr>
          <w:fldChar w:fldCharType="begin"/>
        </w:r>
        <w:r>
          <w:rPr>
            <w:noProof/>
            <w:webHidden/>
          </w:rPr>
          <w:instrText xml:space="preserve"> PAGEREF _Toc227332432 \h </w:instrText>
        </w:r>
        <w:r>
          <w:rPr>
            <w:noProof/>
            <w:webHidden/>
          </w:rPr>
        </w:r>
        <w:r>
          <w:rPr>
            <w:noProof/>
            <w:webHidden/>
          </w:rPr>
          <w:fldChar w:fldCharType="separate"/>
        </w:r>
        <w:r>
          <w:rPr>
            <w:noProof/>
            <w:webHidden/>
          </w:rPr>
          <w:t>5</w:t>
        </w:r>
        <w:r>
          <w:rPr>
            <w:noProof/>
            <w:webHidden/>
          </w:rPr>
          <w:fldChar w:fldCharType="end"/>
        </w:r>
      </w:hyperlink>
    </w:p>
    <w:p w14:paraId="0FD24509"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3" w:history="1">
        <w:r w:rsidRPr="00C72744">
          <w:rPr>
            <w:rStyle w:val="Hyperlink"/>
            <w:noProof/>
          </w:rPr>
          <w:t>ТОВЧИЛСОН ҮГС</w:t>
        </w:r>
        <w:r>
          <w:rPr>
            <w:noProof/>
            <w:webHidden/>
          </w:rPr>
          <w:tab/>
        </w:r>
        <w:r>
          <w:rPr>
            <w:noProof/>
            <w:webHidden/>
          </w:rPr>
          <w:fldChar w:fldCharType="begin"/>
        </w:r>
        <w:r>
          <w:rPr>
            <w:noProof/>
            <w:webHidden/>
          </w:rPr>
          <w:instrText xml:space="preserve"> PAGEREF _Toc227332433 \h </w:instrText>
        </w:r>
        <w:r>
          <w:rPr>
            <w:noProof/>
            <w:webHidden/>
          </w:rPr>
        </w:r>
        <w:r>
          <w:rPr>
            <w:noProof/>
            <w:webHidden/>
          </w:rPr>
          <w:fldChar w:fldCharType="separate"/>
        </w:r>
        <w:r>
          <w:rPr>
            <w:noProof/>
            <w:webHidden/>
          </w:rPr>
          <w:t>6</w:t>
        </w:r>
        <w:r>
          <w:rPr>
            <w:noProof/>
            <w:webHidden/>
          </w:rPr>
          <w:fldChar w:fldCharType="end"/>
        </w:r>
      </w:hyperlink>
    </w:p>
    <w:p w14:paraId="10AF2338"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4" w:history="1">
        <w:r w:rsidRPr="00C72744">
          <w:rPr>
            <w:rStyle w:val="Hyperlink"/>
            <w:noProof/>
          </w:rPr>
          <w:t>ХУРААНГУЙ</w:t>
        </w:r>
        <w:r>
          <w:rPr>
            <w:noProof/>
            <w:webHidden/>
          </w:rPr>
          <w:tab/>
        </w:r>
        <w:r>
          <w:rPr>
            <w:noProof/>
            <w:webHidden/>
          </w:rPr>
          <w:fldChar w:fldCharType="begin"/>
        </w:r>
        <w:r>
          <w:rPr>
            <w:noProof/>
            <w:webHidden/>
          </w:rPr>
          <w:instrText xml:space="preserve"> PAGEREF _Toc227332434 \h </w:instrText>
        </w:r>
        <w:r>
          <w:rPr>
            <w:noProof/>
            <w:webHidden/>
          </w:rPr>
        </w:r>
        <w:r>
          <w:rPr>
            <w:noProof/>
            <w:webHidden/>
          </w:rPr>
          <w:fldChar w:fldCharType="separate"/>
        </w:r>
        <w:r>
          <w:rPr>
            <w:noProof/>
            <w:webHidden/>
          </w:rPr>
          <w:t>7</w:t>
        </w:r>
        <w:r>
          <w:rPr>
            <w:noProof/>
            <w:webHidden/>
          </w:rPr>
          <w:fldChar w:fldCharType="end"/>
        </w:r>
      </w:hyperlink>
    </w:p>
    <w:p w14:paraId="29E6D09F"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5" w:history="1">
        <w:r w:rsidRPr="00C72744">
          <w:rPr>
            <w:rStyle w:val="Hyperlink"/>
            <w:noProof/>
          </w:rPr>
          <w:t>ОРШИЛ</w:t>
        </w:r>
        <w:r>
          <w:rPr>
            <w:noProof/>
            <w:webHidden/>
          </w:rPr>
          <w:tab/>
        </w:r>
        <w:r>
          <w:rPr>
            <w:noProof/>
            <w:webHidden/>
          </w:rPr>
          <w:fldChar w:fldCharType="begin"/>
        </w:r>
        <w:r>
          <w:rPr>
            <w:noProof/>
            <w:webHidden/>
          </w:rPr>
          <w:instrText xml:space="preserve"> PAGEREF _Toc227332435 \h </w:instrText>
        </w:r>
        <w:r>
          <w:rPr>
            <w:noProof/>
            <w:webHidden/>
          </w:rPr>
        </w:r>
        <w:r>
          <w:rPr>
            <w:noProof/>
            <w:webHidden/>
          </w:rPr>
          <w:fldChar w:fldCharType="separate"/>
        </w:r>
        <w:r>
          <w:rPr>
            <w:noProof/>
            <w:webHidden/>
          </w:rPr>
          <w:t>9</w:t>
        </w:r>
        <w:r>
          <w:rPr>
            <w:noProof/>
            <w:webHidden/>
          </w:rPr>
          <w:fldChar w:fldCharType="end"/>
        </w:r>
      </w:hyperlink>
    </w:p>
    <w:p w14:paraId="16DE1CD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6" w:history="1">
        <w:r w:rsidRPr="00C72744">
          <w:rPr>
            <w:rStyle w:val="Hyperlink"/>
            <w:noProof/>
          </w:rPr>
          <w:t>I БҮЛЭГ. СУДЛАГДСАН БАЙДАЛ</w:t>
        </w:r>
        <w:r>
          <w:rPr>
            <w:noProof/>
            <w:webHidden/>
          </w:rPr>
          <w:tab/>
        </w:r>
        <w:r>
          <w:rPr>
            <w:noProof/>
            <w:webHidden/>
          </w:rPr>
          <w:fldChar w:fldCharType="begin"/>
        </w:r>
        <w:r>
          <w:rPr>
            <w:noProof/>
            <w:webHidden/>
          </w:rPr>
          <w:instrText xml:space="preserve"> PAGEREF _Toc227332436 \h </w:instrText>
        </w:r>
        <w:r>
          <w:rPr>
            <w:noProof/>
            <w:webHidden/>
          </w:rPr>
        </w:r>
        <w:r>
          <w:rPr>
            <w:noProof/>
            <w:webHidden/>
          </w:rPr>
          <w:fldChar w:fldCharType="separate"/>
        </w:r>
        <w:r>
          <w:rPr>
            <w:noProof/>
            <w:webHidden/>
          </w:rPr>
          <w:t>12</w:t>
        </w:r>
        <w:r>
          <w:rPr>
            <w:noProof/>
            <w:webHidden/>
          </w:rPr>
          <w:fldChar w:fldCharType="end"/>
        </w:r>
      </w:hyperlink>
    </w:p>
    <w:p w14:paraId="6205E721"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7" w:history="1">
        <w:r w:rsidRPr="00C72744">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_Toc227332437 \h </w:instrText>
        </w:r>
        <w:r>
          <w:rPr>
            <w:noProof/>
            <w:webHidden/>
          </w:rPr>
        </w:r>
        <w:r>
          <w:rPr>
            <w:noProof/>
            <w:webHidden/>
          </w:rPr>
          <w:fldChar w:fldCharType="separate"/>
        </w:r>
        <w:r>
          <w:rPr>
            <w:noProof/>
            <w:webHidden/>
          </w:rPr>
          <w:t>15</w:t>
        </w:r>
        <w:r>
          <w:rPr>
            <w:noProof/>
            <w:webHidden/>
          </w:rPr>
          <w:fldChar w:fldCharType="end"/>
        </w:r>
      </w:hyperlink>
    </w:p>
    <w:p w14:paraId="1780DA92"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8" w:history="1">
        <w:r w:rsidRPr="00C72744">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_Toc227332438 \h </w:instrText>
        </w:r>
        <w:r>
          <w:rPr>
            <w:noProof/>
            <w:webHidden/>
          </w:rPr>
        </w:r>
        <w:r>
          <w:rPr>
            <w:noProof/>
            <w:webHidden/>
          </w:rPr>
          <w:fldChar w:fldCharType="separate"/>
        </w:r>
        <w:r>
          <w:rPr>
            <w:noProof/>
            <w:webHidden/>
          </w:rPr>
          <w:t>19</w:t>
        </w:r>
        <w:r>
          <w:rPr>
            <w:noProof/>
            <w:webHidden/>
          </w:rPr>
          <w:fldChar w:fldCharType="end"/>
        </w:r>
      </w:hyperlink>
    </w:p>
    <w:p w14:paraId="454DD700"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9" w:history="1">
        <w:r w:rsidRPr="00C72744">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_Toc227332439 \h </w:instrText>
        </w:r>
        <w:r>
          <w:rPr>
            <w:noProof/>
            <w:webHidden/>
          </w:rPr>
        </w:r>
        <w:r>
          <w:rPr>
            <w:noProof/>
            <w:webHidden/>
          </w:rPr>
          <w:fldChar w:fldCharType="separate"/>
        </w:r>
        <w:r>
          <w:rPr>
            <w:noProof/>
            <w:webHidden/>
          </w:rPr>
          <w:t>24</w:t>
        </w:r>
        <w:r>
          <w:rPr>
            <w:noProof/>
            <w:webHidden/>
          </w:rPr>
          <w:fldChar w:fldCharType="end"/>
        </w:r>
      </w:hyperlink>
    </w:p>
    <w:p w14:paraId="563DEB2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0" w:history="1">
        <w:r w:rsidRPr="00C72744">
          <w:rPr>
            <w:rStyle w:val="Hyperlink"/>
            <w:noProof/>
          </w:rPr>
          <w:t>V БҮЛЭГ. ХЭЛЭЛЦҮҮЛЭГ</w:t>
        </w:r>
        <w:r>
          <w:rPr>
            <w:noProof/>
            <w:webHidden/>
          </w:rPr>
          <w:tab/>
        </w:r>
        <w:r>
          <w:rPr>
            <w:noProof/>
            <w:webHidden/>
          </w:rPr>
          <w:fldChar w:fldCharType="begin"/>
        </w:r>
        <w:r>
          <w:rPr>
            <w:noProof/>
            <w:webHidden/>
          </w:rPr>
          <w:instrText xml:space="preserve"> PAGEREF _Toc227332440 \h </w:instrText>
        </w:r>
        <w:r>
          <w:rPr>
            <w:noProof/>
            <w:webHidden/>
          </w:rPr>
        </w:r>
        <w:r>
          <w:rPr>
            <w:noProof/>
            <w:webHidden/>
          </w:rPr>
          <w:fldChar w:fldCharType="separate"/>
        </w:r>
        <w:r>
          <w:rPr>
            <w:noProof/>
            <w:webHidden/>
          </w:rPr>
          <w:t>32</w:t>
        </w:r>
        <w:r>
          <w:rPr>
            <w:noProof/>
            <w:webHidden/>
          </w:rPr>
          <w:fldChar w:fldCharType="end"/>
        </w:r>
      </w:hyperlink>
    </w:p>
    <w:p w14:paraId="2073DE76"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1" w:history="1">
        <w:r w:rsidRPr="00C72744">
          <w:rPr>
            <w:rStyle w:val="Hyperlink"/>
            <w:noProof/>
          </w:rPr>
          <w:t>VI БҮЛЭГ. ДҮГНЭЛТ БА БОДЛОГЫН САНАЛ</w:t>
        </w:r>
        <w:r>
          <w:rPr>
            <w:noProof/>
            <w:webHidden/>
          </w:rPr>
          <w:tab/>
        </w:r>
        <w:r>
          <w:rPr>
            <w:noProof/>
            <w:webHidden/>
          </w:rPr>
          <w:fldChar w:fldCharType="begin"/>
        </w:r>
        <w:r>
          <w:rPr>
            <w:noProof/>
            <w:webHidden/>
          </w:rPr>
          <w:instrText xml:space="preserve"> PAGEREF _Toc227332441 \h </w:instrText>
        </w:r>
        <w:r>
          <w:rPr>
            <w:noProof/>
            <w:webHidden/>
          </w:rPr>
        </w:r>
        <w:r>
          <w:rPr>
            <w:noProof/>
            <w:webHidden/>
          </w:rPr>
          <w:fldChar w:fldCharType="separate"/>
        </w:r>
        <w:r>
          <w:rPr>
            <w:noProof/>
            <w:webHidden/>
          </w:rPr>
          <w:t>34</w:t>
        </w:r>
        <w:r>
          <w:rPr>
            <w:noProof/>
            <w:webHidden/>
          </w:rPr>
          <w:fldChar w:fldCharType="end"/>
        </w:r>
      </w:hyperlink>
    </w:p>
    <w:p w14:paraId="182A28CA"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2" w:history="1">
        <w:r w:rsidRPr="00C72744">
          <w:rPr>
            <w:rStyle w:val="Hyperlink"/>
            <w:noProof/>
          </w:rPr>
          <w:t>НОМ ЗҮЙ</w:t>
        </w:r>
        <w:r>
          <w:rPr>
            <w:noProof/>
            <w:webHidden/>
          </w:rPr>
          <w:tab/>
        </w:r>
        <w:r>
          <w:rPr>
            <w:noProof/>
            <w:webHidden/>
          </w:rPr>
          <w:fldChar w:fldCharType="begin"/>
        </w:r>
        <w:r>
          <w:rPr>
            <w:noProof/>
            <w:webHidden/>
          </w:rPr>
          <w:instrText xml:space="preserve"> PAGEREF _Toc227332442 \h </w:instrText>
        </w:r>
        <w:r>
          <w:rPr>
            <w:noProof/>
            <w:webHidden/>
          </w:rPr>
        </w:r>
        <w:r>
          <w:rPr>
            <w:noProof/>
            <w:webHidden/>
          </w:rPr>
          <w:fldChar w:fldCharType="separate"/>
        </w:r>
        <w:r>
          <w:rPr>
            <w:noProof/>
            <w:webHidden/>
          </w:rPr>
          <w:t>36</w:t>
        </w:r>
        <w:r>
          <w:rPr>
            <w:noProof/>
            <w:webHidden/>
          </w:rPr>
          <w:fldChar w:fldCharType="end"/>
        </w:r>
      </w:hyperlink>
    </w:p>
    <w:p w14:paraId="246B91A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3" w:history="1">
        <w:r w:rsidRPr="00C72744">
          <w:rPr>
            <w:rStyle w:val="Hyperlink"/>
            <w:noProof/>
          </w:rPr>
          <w:t>ХАВСРАЛТ</w:t>
        </w:r>
        <w:r>
          <w:rPr>
            <w:noProof/>
            <w:webHidden/>
          </w:rPr>
          <w:tab/>
        </w:r>
        <w:r>
          <w:rPr>
            <w:noProof/>
            <w:webHidden/>
          </w:rPr>
          <w:fldChar w:fldCharType="begin"/>
        </w:r>
        <w:r>
          <w:rPr>
            <w:noProof/>
            <w:webHidden/>
          </w:rPr>
          <w:instrText xml:space="preserve"> PAGEREF _Toc227332443 \h </w:instrText>
        </w:r>
        <w:r>
          <w:rPr>
            <w:noProof/>
            <w:webHidden/>
          </w:rPr>
        </w:r>
        <w:r>
          <w:rPr>
            <w:noProof/>
            <w:webHidden/>
          </w:rPr>
          <w:fldChar w:fldCharType="separate"/>
        </w:r>
        <w:r>
          <w:rPr>
            <w:noProof/>
            <w:webHidden/>
          </w:rPr>
          <w:t>38</w:t>
        </w:r>
        <w:r>
          <w:rPr>
            <w:noProof/>
            <w:webHidden/>
          </w:rPr>
          <w:fldChar w:fldCharType="end"/>
        </w:r>
      </w:hyperlink>
    </w:p>
    <w:p w14:paraId="4DBF2CA0" w14:textId="77777777" w:rsidR="000B782D" w:rsidRDefault="0018275F">
      <w:pPr>
        <w:spacing w:before="0" w:after="0" w:line="276" w:lineRule="auto"/>
      </w:pPr>
      <w:r>
        <w:fldChar w:fldCharType="end"/>
      </w:r>
    </w:p>
    <w:p w14:paraId="3A1FCD1E" w14:textId="77777777" w:rsidR="000B782D" w:rsidRDefault="0018275F">
      <w:r>
        <w:br w:type="page"/>
      </w:r>
    </w:p>
    <w:p w14:paraId="710CCD50" w14:textId="77777777" w:rsidR="000B782D" w:rsidRDefault="0018275F">
      <w:pPr>
        <w:pStyle w:val="Heading1"/>
        <w:spacing w:after="240"/>
      </w:pPr>
      <w:bookmarkStart w:id="1" w:name="_Toc227332431"/>
      <w:r>
        <w:rPr>
          <w:sz w:val="28"/>
        </w:rPr>
        <w:lastRenderedPageBreak/>
        <w:t>ХҮСНЭГТЭН МЭДЭЭЛЛИЙН ЖАГСААЛТ</w:t>
      </w:r>
      <w:bookmarkEnd w:id="1"/>
    </w:p>
    <w:p w14:paraId="132D78F7" w14:textId="77777777" w:rsidR="000B782D" w:rsidRDefault="0018275F">
      <w:pPr>
        <w:tabs>
          <w:tab w:val="right" w:leader="dot" w:pos="9071"/>
        </w:tabs>
        <w:spacing w:before="0" w:line="276" w:lineRule="auto"/>
      </w:pPr>
      <w:r>
        <w:rPr>
          <w:b/>
        </w:rPr>
        <w:t xml:space="preserve">Хүснэгт 1. </w:t>
      </w:r>
      <w:r>
        <w:t>Шинжилгээний түүврийн үндсэн үзүүлэлт</w:t>
      </w:r>
      <w:r>
        <w:tab/>
      </w:r>
      <w:r>
        <w:fldChar w:fldCharType="begin"/>
      </w:r>
      <w:r>
        <w:instrText xml:space="preserve"> PAGEREF Tbl_1 \h </w:instrText>
      </w:r>
      <w:r>
        <w:fldChar w:fldCharType="separate"/>
      </w:r>
      <w:r w:rsidR="00696DCE">
        <w:rPr>
          <w:noProof/>
        </w:rPr>
        <w:t>20</w:t>
      </w:r>
      <w:r>
        <w:fldChar w:fldCharType="end"/>
      </w:r>
    </w:p>
    <w:p w14:paraId="52865BCB" w14:textId="77777777" w:rsidR="000B782D" w:rsidRDefault="0018275F">
      <w:pPr>
        <w:tabs>
          <w:tab w:val="right" w:leader="dot" w:pos="9071"/>
        </w:tabs>
        <w:spacing w:before="0" w:line="276" w:lineRule="auto"/>
      </w:pPr>
      <w:r>
        <w:rPr>
          <w:b/>
        </w:rPr>
        <w:t xml:space="preserve">Хүснэгт 2. </w:t>
      </w:r>
      <w:r>
        <w:t>Түүврийн үндсэн үзүүлэлт ӨНЭЗС-ийн давалгаа тус бүрээр</w:t>
      </w:r>
      <w:r>
        <w:tab/>
      </w:r>
      <w:r>
        <w:fldChar w:fldCharType="begin"/>
      </w:r>
      <w:r>
        <w:instrText xml:space="preserve"> PAGEREF Tbl_2 \h </w:instrText>
      </w:r>
      <w:r>
        <w:fldChar w:fldCharType="separate"/>
      </w:r>
      <w:r w:rsidR="00696DCE">
        <w:rPr>
          <w:noProof/>
        </w:rPr>
        <w:t>21</w:t>
      </w:r>
      <w:r>
        <w:fldChar w:fldCharType="end"/>
      </w:r>
    </w:p>
    <w:p w14:paraId="077C6034" w14:textId="77777777" w:rsidR="000B782D" w:rsidRDefault="0018275F">
      <w:pPr>
        <w:tabs>
          <w:tab w:val="right" w:leader="dot" w:pos="9071"/>
        </w:tabs>
        <w:spacing w:before="0" w:line="276" w:lineRule="auto"/>
      </w:pPr>
      <w:r>
        <w:rPr>
          <w:b/>
        </w:rPr>
        <w:t xml:space="preserve">Хүснэгт 3. </w:t>
      </w:r>
      <w:r>
        <w:t>Энгийн OLS ба фиксэлсэн нөлөөтэй үнэлгээни</w:t>
      </w:r>
      <w:r>
        <w:t>й үр дүн</w:t>
      </w:r>
      <w:r>
        <w:tab/>
      </w:r>
      <w:r>
        <w:fldChar w:fldCharType="begin"/>
      </w:r>
      <w:r>
        <w:instrText xml:space="preserve"> PAGEREF Tbl_3 \h </w:instrText>
      </w:r>
      <w:r>
        <w:fldChar w:fldCharType="separate"/>
      </w:r>
      <w:r w:rsidR="00696DCE">
        <w:rPr>
          <w:noProof/>
        </w:rPr>
        <w:t>24</w:t>
      </w:r>
      <w:r>
        <w:fldChar w:fldCharType="end"/>
      </w:r>
    </w:p>
    <w:p w14:paraId="49835C1E" w14:textId="77777777" w:rsidR="000B782D" w:rsidRDefault="0018275F">
      <w:pPr>
        <w:tabs>
          <w:tab w:val="right" w:leader="dot" w:pos="9071"/>
        </w:tabs>
        <w:spacing w:before="0" w:line="276" w:lineRule="auto"/>
      </w:pPr>
      <w:r>
        <w:rPr>
          <w:b/>
        </w:rPr>
        <w:t xml:space="preserve">Хүснэгт 4. </w:t>
      </w:r>
      <w:r>
        <w:t>Хэрэгсэл хувьсагчийн (IV) үнэлгээний үр дүн</w:t>
      </w:r>
      <w:r>
        <w:tab/>
      </w:r>
      <w:r>
        <w:fldChar w:fldCharType="begin"/>
      </w:r>
      <w:r>
        <w:instrText xml:space="preserve"> PAGEREF Tbl_4 \h </w:instrText>
      </w:r>
      <w:r>
        <w:fldChar w:fldCharType="separate"/>
      </w:r>
      <w:r w:rsidR="00696DCE">
        <w:rPr>
          <w:noProof/>
        </w:rPr>
        <w:t>25</w:t>
      </w:r>
      <w:r>
        <w:fldChar w:fldCharType="end"/>
      </w:r>
    </w:p>
    <w:p w14:paraId="4F71D1B3" w14:textId="77777777" w:rsidR="000B782D" w:rsidRDefault="0018275F">
      <w:pPr>
        <w:tabs>
          <w:tab w:val="right" w:leader="dot" w:pos="9071"/>
        </w:tabs>
        <w:spacing w:before="0" w:line="276" w:lineRule="auto"/>
      </w:pPr>
      <w:r>
        <w:rPr>
          <w:b/>
        </w:rPr>
        <w:t xml:space="preserve">Хүснэгт 5. </w:t>
      </w:r>
      <w:r>
        <w:t>Хэрэгсэл хувьсагчтай б</w:t>
      </w:r>
      <w:r>
        <w:t>осготой регресс (IVTR) — үндсэн үр дүн</w:t>
      </w:r>
      <w:r>
        <w:tab/>
      </w:r>
      <w:r>
        <w:fldChar w:fldCharType="begin"/>
      </w:r>
      <w:r>
        <w:instrText xml:space="preserve"> PAGEREF Tbl_5 \h </w:instrText>
      </w:r>
      <w:r>
        <w:fldChar w:fldCharType="separate"/>
      </w:r>
      <w:r w:rsidR="00696DCE">
        <w:rPr>
          <w:noProof/>
        </w:rPr>
        <w:t>26</w:t>
      </w:r>
      <w:r>
        <w:fldChar w:fldCharType="end"/>
      </w:r>
    </w:p>
    <w:p w14:paraId="5C86A1F5" w14:textId="77777777" w:rsidR="000B782D" w:rsidRDefault="0018275F">
      <w:pPr>
        <w:tabs>
          <w:tab w:val="right" w:leader="dot" w:pos="9071"/>
        </w:tabs>
        <w:spacing w:before="0" w:line="276" w:lineRule="auto"/>
      </w:pPr>
      <w:r>
        <w:rPr>
          <w:b/>
        </w:rPr>
        <w:t xml:space="preserve">Хүснэгт 6. </w:t>
      </w:r>
      <w:r>
        <w:t>Үндсэн үр дүнгийн робастнес шинжилгээ</w:t>
      </w:r>
      <w:r>
        <w:tab/>
      </w:r>
      <w:r>
        <w:fldChar w:fldCharType="begin"/>
      </w:r>
      <w:r>
        <w:instrText xml:space="preserve"> PAGEREF Tbl_6 \h </w:instrText>
      </w:r>
      <w:r>
        <w:fldChar w:fldCharType="separate"/>
      </w:r>
      <w:r w:rsidR="00696DCE">
        <w:rPr>
          <w:noProof/>
        </w:rPr>
        <w:t>29</w:t>
      </w:r>
      <w:r>
        <w:fldChar w:fldCharType="end"/>
      </w:r>
    </w:p>
    <w:p w14:paraId="34001D5B" w14:textId="77777777" w:rsidR="000B782D" w:rsidRDefault="0018275F">
      <w:pPr>
        <w:tabs>
          <w:tab w:val="right" w:leader="dot" w:pos="9071"/>
        </w:tabs>
        <w:spacing w:before="0" w:line="276" w:lineRule="auto"/>
      </w:pPr>
      <w:r>
        <w:rPr>
          <w:b/>
        </w:rPr>
        <w:t>Хүснэгт 7</w:t>
      </w:r>
      <w:r>
        <w:rPr>
          <w:b/>
        </w:rPr>
        <w:t xml:space="preserve">. </w:t>
      </w:r>
      <w:r>
        <w:t>Эконометрик загваруудын нэгдсэн дүгнэлт</w:t>
      </w:r>
      <w:r>
        <w:tab/>
      </w:r>
      <w:r>
        <w:fldChar w:fldCharType="begin"/>
      </w:r>
      <w:r>
        <w:instrText xml:space="preserve"> PAGEREF Tbl_7 \h </w:instrText>
      </w:r>
      <w:r>
        <w:fldChar w:fldCharType="separate"/>
      </w:r>
      <w:r w:rsidR="00696DCE">
        <w:rPr>
          <w:noProof/>
        </w:rPr>
        <w:t>30</w:t>
      </w:r>
      <w:r>
        <w:fldChar w:fldCharType="end"/>
      </w:r>
    </w:p>
    <w:p w14:paraId="0372EE60" w14:textId="77777777" w:rsidR="000B782D" w:rsidRDefault="0018275F">
      <w:r>
        <w:br w:type="page"/>
      </w:r>
    </w:p>
    <w:p w14:paraId="6B2F82D5" w14:textId="77777777" w:rsidR="000B782D" w:rsidRDefault="0018275F">
      <w:pPr>
        <w:pStyle w:val="Heading1"/>
        <w:spacing w:after="240"/>
      </w:pPr>
      <w:bookmarkStart w:id="2" w:name="_Toc227332432"/>
      <w:r>
        <w:rPr>
          <w:sz w:val="28"/>
        </w:rPr>
        <w:lastRenderedPageBreak/>
        <w:t>ЗУРГАН МЭДЭЭЛЛИЙН ЖАГСААЛТ</w:t>
      </w:r>
      <w:bookmarkEnd w:id="2"/>
    </w:p>
    <w:p w14:paraId="18BB1ACB" w14:textId="77777777" w:rsidR="000B782D" w:rsidRDefault="0018275F">
      <w:pPr>
        <w:tabs>
          <w:tab w:val="right" w:leader="dot" w:pos="9071"/>
        </w:tabs>
        <w:spacing w:before="0" w:line="276" w:lineRule="auto"/>
      </w:pPr>
      <w:r>
        <w:rPr>
          <w:b/>
        </w:rPr>
        <w:t xml:space="preserve">Зураг 1. </w:t>
      </w:r>
      <w:r>
        <w:t>Боловсролын жилийн тархалт ӨНЭЗС-ийн давалгаа бүрээр</w:t>
      </w:r>
      <w:r>
        <w:tab/>
      </w:r>
      <w:r>
        <w:fldChar w:fldCharType="begin"/>
      </w:r>
      <w:r>
        <w:instrText xml:space="preserve"> PAGEREF Fig_1 \h </w:instrText>
      </w:r>
      <w:r>
        <w:fldChar w:fldCharType="separate"/>
      </w:r>
      <w:r w:rsidR="00696DCE">
        <w:rPr>
          <w:noProof/>
        </w:rPr>
        <w:t>22</w:t>
      </w:r>
      <w:r>
        <w:fldChar w:fldCharType="end"/>
      </w:r>
    </w:p>
    <w:p w14:paraId="5CFFA97F" w14:textId="77777777" w:rsidR="000B782D" w:rsidRDefault="0018275F">
      <w:pPr>
        <w:tabs>
          <w:tab w:val="right" w:leader="dot" w:pos="9071"/>
        </w:tabs>
        <w:spacing w:before="0" w:line="276" w:lineRule="auto"/>
      </w:pPr>
      <w:r>
        <w:rPr>
          <w:b/>
        </w:rPr>
        <w:t xml:space="preserve">Зураг 2. </w:t>
      </w:r>
      <w:r>
        <w:t>Боловсролын жил ба логаритмчилсан цалингийн хамаарал (ӨНЭЗС 2024)</w:t>
      </w:r>
      <w:r>
        <w:tab/>
      </w:r>
      <w:r>
        <w:fldChar w:fldCharType="begin"/>
      </w:r>
      <w:r>
        <w:instrText xml:space="preserve"> PAGEREF Fig_2 \h </w:instrText>
      </w:r>
      <w:r>
        <w:fldChar w:fldCharType="separate"/>
      </w:r>
      <w:r w:rsidR="00696DCE">
        <w:rPr>
          <w:noProof/>
        </w:rPr>
        <w:t>23</w:t>
      </w:r>
      <w:r>
        <w:fldChar w:fldCharType="end"/>
      </w:r>
    </w:p>
    <w:p w14:paraId="57165F7A" w14:textId="77777777" w:rsidR="000B782D" w:rsidRDefault="0018275F">
      <w:pPr>
        <w:tabs>
          <w:tab w:val="right" w:leader="dot" w:pos="9071"/>
        </w:tabs>
        <w:spacing w:before="0" w:line="276" w:lineRule="auto"/>
      </w:pPr>
      <w:r>
        <w:rPr>
          <w:b/>
        </w:rPr>
        <w:t xml:space="preserve">Зураг 3. </w:t>
      </w:r>
      <w:r>
        <w:t xml:space="preserve">Босгоны сүлжээн хайлтын төвлөрсөн алдааны </w:t>
      </w:r>
      <w:r>
        <w:t>квадратын нийлбэр</w:t>
      </w:r>
      <w:r>
        <w:tab/>
      </w:r>
      <w:r>
        <w:fldChar w:fldCharType="begin"/>
      </w:r>
      <w:r>
        <w:instrText xml:space="preserve"> PAGEREF Fig_3 \h </w:instrText>
      </w:r>
      <w:r>
        <w:fldChar w:fldCharType="separate"/>
      </w:r>
      <w:r w:rsidR="00696DCE">
        <w:rPr>
          <w:noProof/>
        </w:rPr>
        <w:t>26</w:t>
      </w:r>
      <w:r>
        <w:fldChar w:fldCharType="end"/>
      </w:r>
    </w:p>
    <w:p w14:paraId="1059AC35" w14:textId="77777777" w:rsidR="000B782D" w:rsidRDefault="0018275F">
      <w:pPr>
        <w:tabs>
          <w:tab w:val="right" w:leader="dot" w:pos="9071"/>
        </w:tabs>
        <w:spacing w:before="0" w:line="276" w:lineRule="auto"/>
      </w:pPr>
      <w:r>
        <w:rPr>
          <w:b/>
        </w:rPr>
        <w:t xml:space="preserve">Зураг 4. </w:t>
      </w:r>
      <w:r>
        <w:t>Босгоор тусгаарлагдсан боловсролын IV өгөөж (Caner–Hansen IVTR)</w:t>
      </w:r>
      <w:r>
        <w:tab/>
      </w:r>
      <w:r>
        <w:fldChar w:fldCharType="begin"/>
      </w:r>
      <w:r>
        <w:instrText xml:space="preserve"> PAGEREF Fig_4 \h </w:instrText>
      </w:r>
      <w:r>
        <w:fldChar w:fldCharType="separate"/>
      </w:r>
      <w:r w:rsidR="00696DCE">
        <w:rPr>
          <w:noProof/>
        </w:rPr>
        <w:t>27</w:t>
      </w:r>
      <w:r>
        <w:fldChar w:fldCharType="end"/>
      </w:r>
    </w:p>
    <w:p w14:paraId="5B301B69" w14:textId="77777777" w:rsidR="000B782D" w:rsidRDefault="0018275F">
      <w:pPr>
        <w:tabs>
          <w:tab w:val="right" w:leader="dot" w:pos="9071"/>
        </w:tabs>
        <w:spacing w:before="0" w:line="276" w:lineRule="auto"/>
      </w:pPr>
      <w:r>
        <w:rPr>
          <w:b/>
        </w:rPr>
        <w:t>Зураг 5</w:t>
      </w:r>
      <w:r>
        <w:rPr>
          <w:b/>
        </w:rPr>
        <w:t xml:space="preserve">. </w:t>
      </w:r>
      <w:r>
        <w:t>OLS ба IV үнэлгээний давалгаа хоорондын харьцуулалт</w:t>
      </w:r>
      <w:r>
        <w:tab/>
      </w:r>
      <w:r>
        <w:fldChar w:fldCharType="begin"/>
      </w:r>
      <w:r>
        <w:instrText xml:space="preserve"> PAGEREF Fig_5 \h </w:instrText>
      </w:r>
      <w:r>
        <w:fldChar w:fldCharType="separate"/>
      </w:r>
      <w:r w:rsidR="00696DCE">
        <w:rPr>
          <w:noProof/>
        </w:rPr>
        <w:t>29</w:t>
      </w:r>
      <w:r>
        <w:fldChar w:fldCharType="end"/>
      </w:r>
    </w:p>
    <w:p w14:paraId="5F9860C9" w14:textId="77777777" w:rsidR="000B782D" w:rsidRDefault="0018275F">
      <w:r>
        <w:br w:type="page"/>
      </w:r>
    </w:p>
    <w:p w14:paraId="73C5F075" w14:textId="77777777" w:rsidR="000B782D" w:rsidRDefault="0018275F">
      <w:pPr>
        <w:pStyle w:val="Heading1"/>
        <w:spacing w:after="240"/>
      </w:pPr>
      <w:bookmarkStart w:id="3" w:name="_Toc227332433"/>
      <w:r>
        <w:rPr>
          <w:sz w:val="28"/>
        </w:rPr>
        <w:lastRenderedPageBreak/>
        <w:t>ТОВЧИЛСОН ҮГС</w:t>
      </w:r>
      <w:bookmarkEnd w:id="3"/>
    </w:p>
    <w:p w14:paraId="0BA6B8DC"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w:t>
      </w:r>
      <w:r>
        <w:t>олно.</w:t>
      </w:r>
    </w:p>
    <w:tbl>
      <w:tblPr>
        <w:tblW w:w="0" w:type="auto"/>
        <w:jc w:val="center"/>
        <w:tblLayout w:type="fixed"/>
        <w:tblLook w:val="04A0" w:firstRow="1" w:lastRow="0" w:firstColumn="1" w:lastColumn="0" w:noHBand="0" w:noVBand="1"/>
      </w:tblPr>
      <w:tblGrid>
        <w:gridCol w:w="1701"/>
        <w:gridCol w:w="3685"/>
        <w:gridCol w:w="3685"/>
      </w:tblGrid>
      <w:tr w:rsidR="000B782D" w14:paraId="316FEC6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0E893F" w14:textId="77777777" w:rsidR="000B782D" w:rsidRDefault="0018275F">
            <w:pPr>
              <w:spacing w:before="40" w:after="40" w:line="276" w:lineRule="auto"/>
              <w:jc w:val="center"/>
            </w:pPr>
            <w:r>
              <w:rPr>
                <w:b/>
                <w:sz w:val="20"/>
              </w:rPr>
              <w:t>Товчилсон</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B3E7A4" w14:textId="77777777" w:rsidR="000B782D" w:rsidRDefault="0018275F">
            <w:pPr>
              <w:spacing w:before="40" w:after="40" w:line="276" w:lineRule="auto"/>
              <w:jc w:val="center"/>
            </w:pPr>
            <w:r>
              <w:rPr>
                <w:b/>
                <w:sz w:val="20"/>
              </w:rPr>
              <w:t>Англи нэр</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CA496E" w14:textId="77777777" w:rsidR="000B782D" w:rsidRDefault="0018275F">
            <w:pPr>
              <w:spacing w:before="40" w:after="40" w:line="276" w:lineRule="auto"/>
              <w:jc w:val="center"/>
            </w:pPr>
            <w:r>
              <w:rPr>
                <w:b/>
                <w:sz w:val="20"/>
              </w:rPr>
              <w:t>Монгол нэр</w:t>
            </w:r>
          </w:p>
        </w:tc>
      </w:tr>
      <w:tr w:rsidR="000B782D" w14:paraId="120CBF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CD3DE7" w14:textId="77777777" w:rsidR="000B782D" w:rsidRDefault="0018275F">
            <w:pPr>
              <w:spacing w:before="40" w:after="40" w:line="276" w:lineRule="auto"/>
            </w:pPr>
            <w:r>
              <w:rPr>
                <w:b/>
                <w:sz w:val="20"/>
              </w:rPr>
              <w:t>OLS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5CCA4E1" w14:textId="77777777" w:rsidR="000B782D" w:rsidRDefault="0018275F">
            <w:pPr>
              <w:spacing w:before="40" w:after="40" w:line="276" w:lineRule="auto"/>
            </w:pPr>
            <w:r>
              <w:rPr>
                <w:sz w:val="20"/>
              </w:rPr>
              <w:t>Ordinary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6DE1D0A" w14:textId="77777777" w:rsidR="000B782D" w:rsidRDefault="0018275F">
            <w:pPr>
              <w:spacing w:before="40" w:after="40" w:line="276" w:lineRule="auto"/>
            </w:pPr>
            <w:r>
              <w:rPr>
                <w:sz w:val="20"/>
              </w:rPr>
              <w:t>Хамгийн бага квадратын энгийн арга</w:t>
            </w:r>
          </w:p>
        </w:tc>
      </w:tr>
      <w:tr w:rsidR="000B782D" w14:paraId="3DABA3C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E0F2A8B" w14:textId="77777777" w:rsidR="000B782D" w:rsidRDefault="0018275F">
            <w:pPr>
              <w:spacing w:before="40" w:after="40" w:line="276" w:lineRule="auto"/>
            </w:pPr>
            <w:r>
              <w:rPr>
                <w:b/>
                <w:sz w:val="20"/>
              </w:rPr>
              <w:t>2SLS</w:t>
            </w:r>
          </w:p>
        </w:tc>
        <w:tc>
          <w:tcPr>
            <w:tcW w:w="3685" w:type="dxa"/>
            <w:tcBorders>
              <w:top w:val="single" w:sz="4" w:space="0" w:color="000000"/>
              <w:left w:val="single" w:sz="4" w:space="0" w:color="000000"/>
              <w:bottom w:val="single" w:sz="4" w:space="0" w:color="000000"/>
              <w:right w:val="single" w:sz="4" w:space="0" w:color="000000"/>
            </w:tcBorders>
            <w:vAlign w:val="center"/>
          </w:tcPr>
          <w:p w14:paraId="76DFE05F" w14:textId="77777777" w:rsidR="000B782D" w:rsidRDefault="0018275F">
            <w:pPr>
              <w:spacing w:before="40" w:after="40" w:line="276" w:lineRule="auto"/>
            </w:pPr>
            <w:r>
              <w:rPr>
                <w:sz w:val="20"/>
              </w:rPr>
              <w:t>Two-Stage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5AFA077" w14:textId="77777777" w:rsidR="000B782D" w:rsidRDefault="0018275F">
            <w:pPr>
              <w:spacing w:before="40" w:after="40" w:line="276" w:lineRule="auto"/>
            </w:pPr>
            <w:r>
              <w:rPr>
                <w:sz w:val="20"/>
              </w:rPr>
              <w:t>Хоёр шатлалт хамгийн бага квадратын арга</w:t>
            </w:r>
          </w:p>
        </w:tc>
      </w:tr>
      <w:tr w:rsidR="000B782D" w14:paraId="3E0537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B641F5" w14:textId="77777777" w:rsidR="000B782D" w:rsidRDefault="0018275F">
            <w:pPr>
              <w:spacing w:before="40" w:after="40" w:line="276" w:lineRule="auto"/>
            </w:pPr>
            <w:r>
              <w:rPr>
                <w:b/>
                <w:sz w:val="20"/>
              </w:rPr>
              <w:t>IV</w:t>
            </w:r>
          </w:p>
        </w:tc>
        <w:tc>
          <w:tcPr>
            <w:tcW w:w="3685" w:type="dxa"/>
            <w:tcBorders>
              <w:top w:val="single" w:sz="4" w:space="0" w:color="000000"/>
              <w:left w:val="single" w:sz="4" w:space="0" w:color="000000"/>
              <w:bottom w:val="single" w:sz="4" w:space="0" w:color="000000"/>
              <w:right w:val="single" w:sz="4" w:space="0" w:color="000000"/>
            </w:tcBorders>
            <w:vAlign w:val="center"/>
          </w:tcPr>
          <w:p w14:paraId="770D5733" w14:textId="77777777" w:rsidR="000B782D" w:rsidRDefault="0018275F">
            <w:pPr>
              <w:spacing w:before="40" w:after="40" w:line="276" w:lineRule="auto"/>
            </w:pPr>
            <w:r>
              <w:rPr>
                <w:sz w:val="20"/>
              </w:rPr>
              <w:t>Instrumental Variable</w:t>
            </w:r>
          </w:p>
        </w:tc>
        <w:tc>
          <w:tcPr>
            <w:tcW w:w="3685" w:type="dxa"/>
            <w:tcBorders>
              <w:top w:val="single" w:sz="4" w:space="0" w:color="000000"/>
              <w:left w:val="single" w:sz="4" w:space="0" w:color="000000"/>
              <w:bottom w:val="single" w:sz="4" w:space="0" w:color="000000"/>
              <w:right w:val="single" w:sz="4" w:space="0" w:color="000000"/>
            </w:tcBorders>
            <w:vAlign w:val="center"/>
          </w:tcPr>
          <w:p w14:paraId="55D741D4" w14:textId="77777777" w:rsidR="000B782D" w:rsidRDefault="0018275F">
            <w:pPr>
              <w:spacing w:before="40" w:after="40" w:line="276" w:lineRule="auto"/>
            </w:pPr>
            <w:r>
              <w:rPr>
                <w:sz w:val="20"/>
              </w:rPr>
              <w:t>Хэрэгсэл хувьсагч</w:t>
            </w:r>
          </w:p>
        </w:tc>
      </w:tr>
      <w:tr w:rsidR="000B782D" w14:paraId="265971E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91E1A81" w14:textId="77777777" w:rsidR="000B782D" w:rsidRDefault="0018275F">
            <w:pPr>
              <w:spacing w:before="40" w:after="40" w:line="276" w:lineRule="auto"/>
            </w:pPr>
            <w:r>
              <w:rPr>
                <w:b/>
                <w:sz w:val="20"/>
              </w:rPr>
              <w:t>IVTR</w:t>
            </w:r>
          </w:p>
        </w:tc>
        <w:tc>
          <w:tcPr>
            <w:tcW w:w="3685" w:type="dxa"/>
            <w:tcBorders>
              <w:top w:val="single" w:sz="4" w:space="0" w:color="000000"/>
              <w:left w:val="single" w:sz="4" w:space="0" w:color="000000"/>
              <w:bottom w:val="single" w:sz="4" w:space="0" w:color="000000"/>
              <w:right w:val="single" w:sz="4" w:space="0" w:color="000000"/>
            </w:tcBorders>
            <w:vAlign w:val="center"/>
          </w:tcPr>
          <w:p w14:paraId="42EBC1D2" w14:textId="77777777" w:rsidR="000B782D" w:rsidRDefault="0018275F">
            <w:pPr>
              <w:spacing w:before="40" w:after="40" w:line="276" w:lineRule="auto"/>
            </w:pPr>
            <w:r>
              <w:rPr>
                <w:sz w:val="20"/>
              </w:rPr>
              <w:t xml:space="preserve">Instrumental Variable </w:t>
            </w:r>
            <w:r>
              <w:rPr>
                <w:sz w:val="20"/>
              </w:rPr>
              <w:t>Threshold Regression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697771E6" w14:textId="77777777" w:rsidR="000B782D" w:rsidRDefault="0018275F">
            <w:pPr>
              <w:spacing w:before="40" w:after="40" w:line="276" w:lineRule="auto"/>
            </w:pPr>
            <w:r>
              <w:rPr>
                <w:sz w:val="20"/>
              </w:rPr>
              <w:t>Хэрэгсэл хувьсагчтай босготой регресс</w:t>
            </w:r>
          </w:p>
        </w:tc>
      </w:tr>
      <w:tr w:rsidR="000B782D" w14:paraId="16BFBE1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7278BD" w14:textId="77777777" w:rsidR="000B782D" w:rsidRDefault="0018275F">
            <w:pPr>
              <w:spacing w:before="40" w:after="40" w:line="276" w:lineRule="auto"/>
            </w:pPr>
            <w:r>
              <w:rPr>
                <w:b/>
                <w:sz w:val="20"/>
              </w:rPr>
              <w:t>FE</w:t>
            </w:r>
          </w:p>
        </w:tc>
        <w:tc>
          <w:tcPr>
            <w:tcW w:w="3685" w:type="dxa"/>
            <w:tcBorders>
              <w:top w:val="single" w:sz="4" w:space="0" w:color="000000"/>
              <w:left w:val="single" w:sz="4" w:space="0" w:color="000000"/>
              <w:bottom w:val="single" w:sz="4" w:space="0" w:color="000000"/>
              <w:right w:val="single" w:sz="4" w:space="0" w:color="000000"/>
            </w:tcBorders>
            <w:vAlign w:val="center"/>
          </w:tcPr>
          <w:p w14:paraId="528EC6BF" w14:textId="77777777" w:rsidR="000B782D" w:rsidRDefault="0018275F">
            <w:pPr>
              <w:spacing w:before="40" w:after="40" w:line="276" w:lineRule="auto"/>
            </w:pPr>
            <w:r>
              <w:rPr>
                <w:sz w:val="20"/>
              </w:rPr>
              <w:t>Fixed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4A6B704B" w14:textId="77777777" w:rsidR="000B782D" w:rsidRDefault="0018275F">
            <w:pPr>
              <w:spacing w:before="40" w:after="40" w:line="276" w:lineRule="auto"/>
            </w:pPr>
            <w:r>
              <w:rPr>
                <w:sz w:val="20"/>
              </w:rPr>
              <w:t>Фиксэлсэн нөлөөний загвар</w:t>
            </w:r>
          </w:p>
        </w:tc>
      </w:tr>
      <w:tr w:rsidR="000B782D" w14:paraId="3E5ABD6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EC782F" w14:textId="77777777" w:rsidR="000B782D" w:rsidRDefault="0018275F">
            <w:pPr>
              <w:spacing w:before="40" w:after="40" w:line="276" w:lineRule="auto"/>
            </w:pPr>
            <w:r>
              <w:rPr>
                <w:b/>
                <w:sz w:val="20"/>
              </w:rPr>
              <w: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0ECB7845" w14:textId="77777777" w:rsidR="000B782D" w:rsidRDefault="0018275F">
            <w:pPr>
              <w:spacing w:before="40" w:after="40" w:line="276" w:lineRule="auto"/>
            </w:pPr>
            <w:r>
              <w:rPr>
                <w:sz w:val="20"/>
              </w:rPr>
              <w:t>Random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2ED1B6B3" w14:textId="77777777" w:rsidR="000B782D" w:rsidRDefault="0018275F">
            <w:pPr>
              <w:spacing w:before="40" w:after="40" w:line="276" w:lineRule="auto"/>
            </w:pPr>
            <w:r>
              <w:rPr>
                <w:sz w:val="20"/>
              </w:rPr>
              <w:t>Санамсаргүй нөлөөний загвар</w:t>
            </w:r>
          </w:p>
        </w:tc>
      </w:tr>
      <w:tr w:rsidR="000B782D" w14:paraId="01BBD18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A200F9A" w14:textId="77777777" w:rsidR="000B782D" w:rsidRDefault="0018275F">
            <w:pPr>
              <w:spacing w:before="40" w:after="40" w:line="276" w:lineRule="auto"/>
            </w:pPr>
            <w:r>
              <w:rPr>
                <w:b/>
                <w:sz w:val="20"/>
              </w:rPr>
              <w:t>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0346DB" w14:textId="77777777" w:rsidR="000B782D" w:rsidRDefault="0018275F">
            <w:pPr>
              <w:spacing w:before="40" w:after="40" w:line="276" w:lineRule="auto"/>
            </w:pPr>
            <w:r>
              <w:rPr>
                <w:sz w:val="20"/>
              </w:rPr>
              <w:t>Standard Error</w:t>
            </w:r>
          </w:p>
        </w:tc>
        <w:tc>
          <w:tcPr>
            <w:tcW w:w="3685" w:type="dxa"/>
            <w:tcBorders>
              <w:top w:val="single" w:sz="4" w:space="0" w:color="000000"/>
              <w:left w:val="single" w:sz="4" w:space="0" w:color="000000"/>
              <w:bottom w:val="single" w:sz="4" w:space="0" w:color="000000"/>
              <w:right w:val="single" w:sz="4" w:space="0" w:color="000000"/>
            </w:tcBorders>
            <w:vAlign w:val="center"/>
          </w:tcPr>
          <w:p w14:paraId="47C23D70" w14:textId="77777777" w:rsidR="000B782D" w:rsidRDefault="0018275F">
            <w:pPr>
              <w:spacing w:before="40" w:after="40" w:line="276" w:lineRule="auto"/>
            </w:pPr>
            <w:r>
              <w:rPr>
                <w:sz w:val="20"/>
              </w:rPr>
              <w:t>Стандарт алдаа</w:t>
            </w:r>
          </w:p>
        </w:tc>
      </w:tr>
      <w:tr w:rsidR="000B782D" w14:paraId="0B9E8EB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D61C15F" w14:textId="77777777" w:rsidR="000B782D" w:rsidRDefault="0018275F">
            <w:pPr>
              <w:spacing w:before="40" w:after="40" w:line="276" w:lineRule="auto"/>
            </w:pPr>
            <w:r>
              <w:rPr>
                <w:b/>
                <w:sz w:val="20"/>
              </w:rPr>
              <w:t>CI</w:t>
            </w:r>
          </w:p>
        </w:tc>
        <w:tc>
          <w:tcPr>
            <w:tcW w:w="3685" w:type="dxa"/>
            <w:tcBorders>
              <w:top w:val="single" w:sz="4" w:space="0" w:color="000000"/>
              <w:left w:val="single" w:sz="4" w:space="0" w:color="000000"/>
              <w:bottom w:val="single" w:sz="4" w:space="0" w:color="000000"/>
              <w:right w:val="single" w:sz="4" w:space="0" w:color="000000"/>
            </w:tcBorders>
            <w:vAlign w:val="center"/>
          </w:tcPr>
          <w:p w14:paraId="4A441C20" w14:textId="77777777" w:rsidR="000B782D" w:rsidRDefault="0018275F">
            <w:pPr>
              <w:spacing w:before="40" w:after="40" w:line="276" w:lineRule="auto"/>
            </w:pPr>
            <w:r>
              <w:rPr>
                <w:sz w:val="20"/>
              </w:rPr>
              <w:t>Confidence Interval</w:t>
            </w:r>
          </w:p>
        </w:tc>
        <w:tc>
          <w:tcPr>
            <w:tcW w:w="3685" w:type="dxa"/>
            <w:tcBorders>
              <w:top w:val="single" w:sz="4" w:space="0" w:color="000000"/>
              <w:left w:val="single" w:sz="4" w:space="0" w:color="000000"/>
              <w:bottom w:val="single" w:sz="4" w:space="0" w:color="000000"/>
              <w:right w:val="single" w:sz="4" w:space="0" w:color="000000"/>
            </w:tcBorders>
            <w:vAlign w:val="center"/>
          </w:tcPr>
          <w:p w14:paraId="31F7D476" w14:textId="77777777" w:rsidR="000B782D" w:rsidRDefault="0018275F">
            <w:pPr>
              <w:spacing w:before="40" w:after="40" w:line="276" w:lineRule="auto"/>
            </w:pPr>
            <w:r>
              <w:rPr>
                <w:sz w:val="20"/>
              </w:rPr>
              <w:t>Итгэлийн интервал</w:t>
            </w:r>
          </w:p>
        </w:tc>
      </w:tr>
      <w:tr w:rsidR="000B782D" w14:paraId="0378B86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D669EF" w14:textId="77777777" w:rsidR="000B782D" w:rsidRDefault="0018275F">
            <w:pPr>
              <w:spacing w:before="40" w:after="40" w:line="276" w:lineRule="auto"/>
            </w:pPr>
            <w:r>
              <w:rPr>
                <w:b/>
                <w:sz w:val="20"/>
              </w:rPr>
              <w:t>SSR</w:t>
            </w:r>
          </w:p>
        </w:tc>
        <w:tc>
          <w:tcPr>
            <w:tcW w:w="3685" w:type="dxa"/>
            <w:tcBorders>
              <w:top w:val="single" w:sz="4" w:space="0" w:color="000000"/>
              <w:left w:val="single" w:sz="4" w:space="0" w:color="000000"/>
              <w:bottom w:val="single" w:sz="4" w:space="0" w:color="000000"/>
              <w:right w:val="single" w:sz="4" w:space="0" w:color="000000"/>
            </w:tcBorders>
            <w:vAlign w:val="center"/>
          </w:tcPr>
          <w:p w14:paraId="28AAD309" w14:textId="77777777" w:rsidR="000B782D" w:rsidRDefault="0018275F">
            <w:pPr>
              <w:spacing w:before="40" w:after="40" w:line="276" w:lineRule="auto"/>
            </w:pPr>
            <w:r>
              <w:rPr>
                <w:sz w:val="20"/>
              </w:rPr>
              <w:t xml:space="preserve">Sum of Squared </w:t>
            </w:r>
            <w:r>
              <w:rPr>
                <w:sz w:val="20"/>
              </w:rPr>
              <w:t>Residuals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C6ED89C" w14:textId="77777777" w:rsidR="000B782D" w:rsidRDefault="0018275F">
            <w:pPr>
              <w:spacing w:before="40" w:after="40" w:line="276" w:lineRule="auto"/>
            </w:pPr>
            <w:r>
              <w:rPr>
                <w:sz w:val="20"/>
              </w:rPr>
              <w:t>Алдааны квадратын нийлбэр</w:t>
            </w:r>
          </w:p>
        </w:tc>
      </w:tr>
      <w:tr w:rsidR="000B782D" w14:paraId="6B3336D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948330B" w14:textId="77777777" w:rsidR="000B782D" w:rsidRDefault="0018275F">
            <w:pPr>
              <w:spacing w:before="40" w:after="40" w:line="276" w:lineRule="auto"/>
            </w:pPr>
            <w:r>
              <w:rPr>
                <w:b/>
                <w:sz w:val="20"/>
              </w:rPr>
              <w:t>ӨНЭЗС</w:t>
            </w:r>
          </w:p>
        </w:tc>
        <w:tc>
          <w:tcPr>
            <w:tcW w:w="3685" w:type="dxa"/>
            <w:tcBorders>
              <w:top w:val="single" w:sz="4" w:space="0" w:color="000000"/>
              <w:left w:val="single" w:sz="4" w:space="0" w:color="000000"/>
              <w:bottom w:val="single" w:sz="4" w:space="0" w:color="000000"/>
              <w:right w:val="single" w:sz="4" w:space="0" w:color="000000"/>
            </w:tcBorders>
            <w:vAlign w:val="center"/>
          </w:tcPr>
          <w:p w14:paraId="71DB1A17" w14:textId="77777777" w:rsidR="000B782D" w:rsidRDefault="0018275F">
            <w:pPr>
              <w:spacing w:before="40" w:after="40" w:line="276" w:lineRule="auto"/>
            </w:pPr>
            <w:r>
              <w:rPr>
                <w:sz w:val="20"/>
              </w:rPr>
              <w:t>Household Socio-Economic Survey (HSES)</w:t>
            </w:r>
          </w:p>
        </w:tc>
        <w:tc>
          <w:tcPr>
            <w:tcW w:w="3685" w:type="dxa"/>
            <w:tcBorders>
              <w:top w:val="single" w:sz="4" w:space="0" w:color="000000"/>
              <w:left w:val="single" w:sz="4" w:space="0" w:color="000000"/>
              <w:bottom w:val="single" w:sz="4" w:space="0" w:color="000000"/>
              <w:right w:val="single" w:sz="4" w:space="0" w:color="000000"/>
            </w:tcBorders>
            <w:vAlign w:val="center"/>
          </w:tcPr>
          <w:p w14:paraId="7D84D02D" w14:textId="77777777" w:rsidR="000B782D" w:rsidRDefault="0018275F">
            <w:pPr>
              <w:spacing w:before="40" w:after="40" w:line="276" w:lineRule="auto"/>
            </w:pPr>
            <w:r>
              <w:rPr>
                <w:sz w:val="20"/>
              </w:rPr>
              <w:t>Өрхийн нийгэм эдийн засгийн судалгаа</w:t>
            </w:r>
          </w:p>
        </w:tc>
      </w:tr>
      <w:tr w:rsidR="000B782D" w14:paraId="5CFB0C4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CCF1D7" w14:textId="77777777" w:rsidR="000B782D" w:rsidRDefault="0018275F">
            <w:pPr>
              <w:spacing w:before="40" w:after="40" w:line="276" w:lineRule="auto"/>
            </w:pPr>
            <w:r>
              <w:rPr>
                <w:b/>
                <w:sz w:val="20"/>
              </w:rPr>
              <w:t>ҮСХ</w:t>
            </w:r>
          </w:p>
        </w:tc>
        <w:tc>
          <w:tcPr>
            <w:tcW w:w="3685" w:type="dxa"/>
            <w:tcBorders>
              <w:top w:val="single" w:sz="4" w:space="0" w:color="000000"/>
              <w:left w:val="single" w:sz="4" w:space="0" w:color="000000"/>
              <w:bottom w:val="single" w:sz="4" w:space="0" w:color="000000"/>
              <w:right w:val="single" w:sz="4" w:space="0" w:color="000000"/>
            </w:tcBorders>
            <w:vAlign w:val="center"/>
          </w:tcPr>
          <w:p w14:paraId="1F667D14" w14:textId="77777777" w:rsidR="000B782D" w:rsidRDefault="0018275F">
            <w:pPr>
              <w:spacing w:before="40" w:after="40" w:line="276" w:lineRule="auto"/>
            </w:pPr>
            <w:r>
              <w:rPr>
                <w:sz w:val="20"/>
              </w:rPr>
              <w:t>National Statistics Office</w:t>
            </w:r>
          </w:p>
        </w:tc>
        <w:tc>
          <w:tcPr>
            <w:tcW w:w="3685" w:type="dxa"/>
            <w:tcBorders>
              <w:top w:val="single" w:sz="4" w:space="0" w:color="000000"/>
              <w:left w:val="single" w:sz="4" w:space="0" w:color="000000"/>
              <w:bottom w:val="single" w:sz="4" w:space="0" w:color="000000"/>
              <w:right w:val="single" w:sz="4" w:space="0" w:color="000000"/>
            </w:tcBorders>
            <w:vAlign w:val="center"/>
          </w:tcPr>
          <w:p w14:paraId="39D9360B" w14:textId="77777777" w:rsidR="000B782D" w:rsidRDefault="0018275F">
            <w:pPr>
              <w:spacing w:before="40" w:after="40" w:line="276" w:lineRule="auto"/>
            </w:pPr>
            <w:r>
              <w:rPr>
                <w:sz w:val="20"/>
              </w:rPr>
              <w:t>Үндэсний статистикийн хороо</w:t>
            </w:r>
          </w:p>
        </w:tc>
      </w:tr>
      <w:tr w:rsidR="000B782D" w14:paraId="3913E8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13CAAE" w14:textId="77777777" w:rsidR="000B782D" w:rsidRDefault="0018275F">
            <w:pPr>
              <w:spacing w:before="40" w:after="40" w:line="276" w:lineRule="auto"/>
            </w:pPr>
            <w:r>
              <w:rPr>
                <w:b/>
                <w:sz w:val="20"/>
              </w:rPr>
              <w:t>ЕБС</w:t>
            </w:r>
          </w:p>
        </w:tc>
        <w:tc>
          <w:tcPr>
            <w:tcW w:w="3685" w:type="dxa"/>
            <w:tcBorders>
              <w:top w:val="single" w:sz="4" w:space="0" w:color="000000"/>
              <w:left w:val="single" w:sz="4" w:space="0" w:color="000000"/>
              <w:bottom w:val="single" w:sz="4" w:space="0" w:color="000000"/>
              <w:right w:val="single" w:sz="4" w:space="0" w:color="000000"/>
            </w:tcBorders>
            <w:vAlign w:val="center"/>
          </w:tcPr>
          <w:p w14:paraId="60532D7B" w14:textId="77777777" w:rsidR="000B782D" w:rsidRDefault="0018275F">
            <w:pPr>
              <w:spacing w:before="40" w:after="40" w:line="276" w:lineRule="auto"/>
            </w:pPr>
            <w:r>
              <w:rPr>
                <w:sz w:val="20"/>
              </w:rPr>
              <w:t>General Education School</w:t>
            </w:r>
          </w:p>
        </w:tc>
        <w:tc>
          <w:tcPr>
            <w:tcW w:w="3685" w:type="dxa"/>
            <w:tcBorders>
              <w:top w:val="single" w:sz="4" w:space="0" w:color="000000"/>
              <w:left w:val="single" w:sz="4" w:space="0" w:color="000000"/>
              <w:bottom w:val="single" w:sz="4" w:space="0" w:color="000000"/>
              <w:right w:val="single" w:sz="4" w:space="0" w:color="000000"/>
            </w:tcBorders>
            <w:vAlign w:val="center"/>
          </w:tcPr>
          <w:p w14:paraId="7204B154" w14:textId="77777777" w:rsidR="000B782D" w:rsidRDefault="0018275F">
            <w:pPr>
              <w:spacing w:before="40" w:after="40" w:line="276" w:lineRule="auto"/>
            </w:pPr>
            <w:r>
              <w:rPr>
                <w:sz w:val="20"/>
              </w:rPr>
              <w:t>Ерөнхий боловсролын сургууль</w:t>
            </w:r>
          </w:p>
        </w:tc>
      </w:tr>
      <w:tr w:rsidR="000B782D" w14:paraId="50ED5B8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BA9417" w14:textId="77777777" w:rsidR="000B782D" w:rsidRDefault="0018275F">
            <w:pPr>
              <w:spacing w:before="40" w:after="40" w:line="276" w:lineRule="auto"/>
            </w:pPr>
            <w:r>
              <w:rPr>
                <w:b/>
                <w:sz w:val="20"/>
              </w:rPr>
              <w:t>МСҮТ</w:t>
            </w:r>
          </w:p>
        </w:tc>
        <w:tc>
          <w:tcPr>
            <w:tcW w:w="3685" w:type="dxa"/>
            <w:tcBorders>
              <w:top w:val="single" w:sz="4" w:space="0" w:color="000000"/>
              <w:left w:val="single" w:sz="4" w:space="0" w:color="000000"/>
              <w:bottom w:val="single" w:sz="4" w:space="0" w:color="000000"/>
              <w:right w:val="single" w:sz="4" w:space="0" w:color="000000"/>
            </w:tcBorders>
            <w:vAlign w:val="center"/>
          </w:tcPr>
          <w:p w14:paraId="4FD00DDF" w14:textId="77777777" w:rsidR="000B782D" w:rsidRDefault="0018275F">
            <w:pPr>
              <w:spacing w:before="40" w:after="40" w:line="276" w:lineRule="auto"/>
            </w:pPr>
            <w:r>
              <w:rPr>
                <w:sz w:val="20"/>
              </w:rPr>
              <w:t>Vocational E</w:t>
            </w:r>
            <w:r>
              <w:rPr>
                <w:sz w:val="20"/>
              </w:rPr>
              <w:t>ducation Training Centre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B103D7" w14:textId="77777777" w:rsidR="000B782D" w:rsidRDefault="0018275F">
            <w:pPr>
              <w:spacing w:before="40" w:after="40" w:line="276" w:lineRule="auto"/>
            </w:pPr>
            <w:r>
              <w:rPr>
                <w:sz w:val="20"/>
              </w:rPr>
              <w:t>Мэргэжлийн сургалт үйлдвэрлэлийн төв</w:t>
            </w:r>
          </w:p>
        </w:tc>
      </w:tr>
      <w:tr w:rsidR="000B782D" w14:paraId="655C98B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CDCE671" w14:textId="77777777" w:rsidR="000B782D" w:rsidRDefault="0018275F">
            <w:pPr>
              <w:spacing w:before="40" w:after="40" w:line="276" w:lineRule="auto"/>
            </w:pPr>
            <w:r>
              <w:rPr>
                <w:b/>
                <w:sz w:val="20"/>
              </w:rPr>
              <w:t>AR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8150D3" w14:textId="77777777" w:rsidR="000B782D" w:rsidRDefault="0018275F">
            <w:pPr>
              <w:spacing w:before="40" w:after="40" w:line="276" w:lineRule="auto"/>
            </w:pPr>
            <w:r>
              <w:rPr>
                <w:sz w:val="20"/>
              </w:rPr>
              <w:t>Anderson–Rubin test</w:t>
            </w:r>
          </w:p>
        </w:tc>
        <w:tc>
          <w:tcPr>
            <w:tcW w:w="3685" w:type="dxa"/>
            <w:tcBorders>
              <w:top w:val="single" w:sz="4" w:space="0" w:color="000000"/>
              <w:left w:val="single" w:sz="4" w:space="0" w:color="000000"/>
              <w:bottom w:val="single" w:sz="4" w:space="0" w:color="000000"/>
              <w:right w:val="single" w:sz="4" w:space="0" w:color="000000"/>
            </w:tcBorders>
            <w:vAlign w:val="center"/>
          </w:tcPr>
          <w:p w14:paraId="590664F9" w14:textId="77777777" w:rsidR="000B782D" w:rsidRDefault="0018275F">
            <w:pPr>
              <w:spacing w:before="40" w:after="40" w:line="276" w:lineRule="auto"/>
            </w:pPr>
            <w:r>
              <w:rPr>
                <w:sz w:val="20"/>
              </w:rPr>
              <w:t>Андерсон–Рубиний тест</w:t>
            </w:r>
          </w:p>
        </w:tc>
      </w:tr>
      <w:tr w:rsidR="000B782D" w14:paraId="438CE72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5CB918" w14:textId="77777777" w:rsidR="000B782D" w:rsidRDefault="0018275F">
            <w:pPr>
              <w:spacing w:before="40" w:after="40" w:line="276" w:lineRule="auto"/>
            </w:pPr>
            <w:r>
              <w:rPr>
                <w:b/>
                <w:sz w:val="20"/>
              </w:rPr>
              <w:t>KP</w:t>
            </w:r>
          </w:p>
        </w:tc>
        <w:tc>
          <w:tcPr>
            <w:tcW w:w="3685" w:type="dxa"/>
            <w:tcBorders>
              <w:top w:val="single" w:sz="4" w:space="0" w:color="000000"/>
              <w:left w:val="single" w:sz="4" w:space="0" w:color="000000"/>
              <w:bottom w:val="single" w:sz="4" w:space="0" w:color="000000"/>
              <w:right w:val="single" w:sz="4" w:space="0" w:color="000000"/>
            </w:tcBorders>
            <w:vAlign w:val="center"/>
          </w:tcPr>
          <w:p w14:paraId="7C35A229" w14:textId="77777777" w:rsidR="000B782D" w:rsidRDefault="0018275F">
            <w:pPr>
              <w:spacing w:before="40" w:after="40" w:line="276" w:lineRule="auto"/>
            </w:pPr>
            <w:r>
              <w:rPr>
                <w:sz w:val="20"/>
              </w:rPr>
              <w:t>Kleibergen–Paap</w:t>
            </w:r>
          </w:p>
        </w:tc>
        <w:tc>
          <w:tcPr>
            <w:tcW w:w="3685" w:type="dxa"/>
            <w:tcBorders>
              <w:top w:val="single" w:sz="4" w:space="0" w:color="000000"/>
              <w:left w:val="single" w:sz="4" w:space="0" w:color="000000"/>
              <w:bottom w:val="single" w:sz="4" w:space="0" w:color="000000"/>
              <w:right w:val="single" w:sz="4" w:space="0" w:color="000000"/>
            </w:tcBorders>
            <w:vAlign w:val="center"/>
          </w:tcPr>
          <w:p w14:paraId="309AF3EF" w14:textId="77777777" w:rsidR="000B782D" w:rsidRDefault="0018275F">
            <w:pPr>
              <w:spacing w:before="40" w:after="40" w:line="276" w:lineRule="auto"/>
            </w:pPr>
            <w:r>
              <w:rPr>
                <w:sz w:val="20"/>
              </w:rPr>
              <w:t>Клейберген–Паапын статистик</w:t>
            </w:r>
          </w:p>
        </w:tc>
      </w:tr>
      <w:tr w:rsidR="000B782D" w14:paraId="55EB38D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8D6A8A" w14:textId="77777777" w:rsidR="000B782D" w:rsidRDefault="0018275F">
            <w:pPr>
              <w:spacing w:before="40" w:after="40" w:line="276" w:lineRule="auto"/>
            </w:pPr>
            <w:r>
              <w:rPr>
                <w:b/>
                <w:sz w:val="20"/>
              </w:rPr>
              <w:t>APA</w:t>
            </w:r>
          </w:p>
        </w:tc>
        <w:tc>
          <w:tcPr>
            <w:tcW w:w="3685" w:type="dxa"/>
            <w:tcBorders>
              <w:top w:val="single" w:sz="4" w:space="0" w:color="000000"/>
              <w:left w:val="single" w:sz="4" w:space="0" w:color="000000"/>
              <w:bottom w:val="single" w:sz="4" w:space="0" w:color="000000"/>
              <w:right w:val="single" w:sz="4" w:space="0" w:color="000000"/>
            </w:tcBorders>
            <w:vAlign w:val="center"/>
          </w:tcPr>
          <w:p w14:paraId="3F3CE4A8" w14:textId="77777777" w:rsidR="000B782D" w:rsidRDefault="0018275F">
            <w:pPr>
              <w:spacing w:before="40" w:after="40" w:line="276" w:lineRule="auto"/>
            </w:pPr>
            <w:r>
              <w:rPr>
                <w:sz w:val="20"/>
              </w:rPr>
              <w:t>American Psychological Association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E1CE789" w14:textId="77777777" w:rsidR="000B782D" w:rsidRDefault="0018275F">
            <w:pPr>
              <w:spacing w:before="40" w:after="40" w:line="276" w:lineRule="auto"/>
            </w:pPr>
            <w:r>
              <w:rPr>
                <w:sz w:val="20"/>
              </w:rPr>
              <w:t>Америкийн сэтгэл судлалын холбооны ишлэлийн стандарт</w:t>
            </w:r>
          </w:p>
        </w:tc>
      </w:tr>
    </w:tbl>
    <w:p w14:paraId="3BEFF07C" w14:textId="77777777" w:rsidR="000B782D" w:rsidRDefault="0018275F">
      <w:r>
        <w:br w:type="page"/>
      </w:r>
    </w:p>
    <w:p w14:paraId="7EE9AC38" w14:textId="77777777" w:rsidR="000B782D" w:rsidRDefault="0018275F">
      <w:pPr>
        <w:pStyle w:val="Heading1"/>
        <w:spacing w:after="240"/>
      </w:pPr>
      <w:bookmarkStart w:id="4" w:name="_Toc227332434"/>
      <w:r>
        <w:rPr>
          <w:sz w:val="28"/>
        </w:rPr>
        <w:lastRenderedPageBreak/>
        <w:t>ХУРААНГУЙ</w:t>
      </w:r>
      <w:bookmarkEnd w:id="4"/>
    </w:p>
    <w:p w14:paraId="6580E51D"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дотоод шалтгаант байдлыг арилгах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r/>
      <w:r/>
    </w:p>
    <w:p w14:paraId="1CE284A5"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өснө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зэрлэг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r/>
      <w:r/>
      <w:r/>
    </w:p>
    <w:p w14:paraId="39077220" w14:textId="77777777" w:rsidR="000B782D" w:rsidRDefault="0018275F">
      <w:pPr>
        <w:ind w:firstLine="567"/>
        <w:jc w:val="both"/>
      </w:pPr>
      <w:r>
        <w:t>Түлхүүр үг: боловсролын өгөөж, хэрэгсэл хувьсагч, босго утгат регресс, Caner–Hansen, ӨНЭЗС, Монгол Улс</w:t>
      </w:r>
      <w:r/>
      <w:r/>
    </w:p>
    <w:p w14:paraId="6DB21AB3" w14:textId="77777777" w:rsidR="000B782D" w:rsidRDefault="0018275F">
      <w:pPr>
        <w:ind w:firstLine="567"/>
        <w:jc w:val="both"/>
      </w:pPr>
      <w:r>
        <w:t>JEL ангилал: C24, I26, J31, O15</w:t>
      </w:r>
      <w:r/>
      <w:r/>
      <w:r/>
      <w:r/>
    </w:p>
    <w:p w14:paraId="64B74680" w14:textId="77777777" w:rsidR="000B782D" w:rsidRDefault="0018275F">
      <w:pPr>
        <w:jc w:val="both"/>
      </w:pPr>
      <w:r>
        <w:rPr>
          <w:b/>
        </w:rPr>
      </w:r>
      <w:r/>
      <w:r/>
    </w:p>
    <w:p w14:paraId="12007DA3" w14:textId="77777777" w:rsidR="000B782D" w:rsidRDefault="0018275F">
      <w:r>
        <w:br w:type="page"/>
      </w:r>
    </w:p>
    <w:p w14:paraId="37E08BF0" w14:textId="77777777" w:rsidR="000B782D" w:rsidRDefault="0018275F">
      <w:pPr>
        <w:pStyle w:val="Heading1"/>
        <w:spacing w:after="240"/>
      </w:pPr>
      <w:bookmarkStart w:id="5" w:name="_Toc227332435"/>
      <w:r>
        <w:rPr>
          <w:sz w:val="28"/>
        </w:rPr>
        <w:lastRenderedPageBreak/>
        <w:t>ОРШИЛ</w:t>
      </w:r>
      <w:bookmarkEnd w:id="5"/>
    </w:p>
    <w:p w14:paraId="3C655918" w14:textId="77777777" w:rsidR="000B782D" w:rsidRDefault="0018275F">
      <w:pPr>
        <w:pStyle w:val="Heading2"/>
        <w:spacing w:after="120"/>
      </w:pPr>
      <w:r>
        <w:t>Судалгааны сэдвийн үндэслэл</w:t>
      </w:r>
    </w:p>
    <w:p w14:paraId="1717BE92" w14:textId="77777777" w:rsidR="000B782D" w:rsidRDefault="0018275F">
      <w:pPr>
        <w:ind w:firstLine="567"/>
        <w:jc w:val="both"/>
      </w:pPr>
      <w:r>
        <w:t xml:space="preserve">Хүмүүн капиталын нэмэлт нэг жилийн боловсрол нь хөдөлмөрийн орлогыг хэрхэн нэмэгдүүлдэг вэ гэдэг асуулт эдийн засгийн </w:t>
      </w:r>
      <w:r>
        <w:t>ухааны хамгийн эртний бөгөөд үнэт суурь асуудлуудын нэг юм. Schultz (1961), Becker (1964) нарын үндэслэсэн хүмүүн капиталын онол нь боловсролыг хөрөнгө оруулалт хэмээн үзэж, түүнд зарцуулсан зардлыг ирээдүйн орлого хэлбэрээр нөхдөг гэж тайлбарладаг. Mincer</w:t>
      </w:r>
      <w:r>
        <w:t xml:space="preserve"> (1974)-ийн цалингийн тэгшитгэл нь хожим олон арван жилийн турш энэ онолын эмпирик шалгалтын үндсэн хэрэгсэл болжээ. Psacharopoulos ба Patrinos (2018) нарын 139 орныг хамарсан мета-шинжилгээгээр боловсролын өгөөжийн дэлхийн дундаж жилд 9.0% орчим, дээд бол</w:t>
      </w:r>
      <w:r>
        <w:t>овсролынх 14.6% болж байгааг тогтоосон.</w:t>
      </w:r>
    </w:p>
    <w:p w14:paraId="04F69A25" w14:textId="77777777" w:rsidR="000B782D" w:rsidRDefault="0018275F">
      <w:pPr>
        <w:ind w:firstLine="567"/>
        <w:jc w:val="both"/>
      </w:pPr>
      <w:r>
        <w:t>Монгол Улсын хувьд боловсролын өгөөжийн асуудал онцгой ач холбогдолтой болж байна. Нэгдүгээрт, 1995 онд 10 жилийн ерөнхий боловсролын тогтолцоог 11 жил болгож, 2008 оноос эхлэн 12 жилийн системд бүрэн шилжсэн шинэчлэ</w:t>
      </w:r>
      <w:r>
        <w:t>лийн үр дагаварт боловсролын ахиу хувьсагчийн утга ажилтны үеүд дунд харилцан адилгүй байна. Хоёрдугаарт, 1990-ээд оноос хойш хувийн их, дээд сургуулиуд эрчимтэй өргөжин нэмэгдэж, дээд боловсролын хамралт 3 дахин өсч, 2024 оны байдлаар 25–34 насны иргэдийн</w:t>
      </w:r>
      <w:r>
        <w:t xml:space="preserve"> 44% дээд боловсрол эзэмшжээ (ҮСХ, 2024). Гуравдугаарт, хөдөлмөрийн зах зээлд ажилгүйдлийн түвшин боловсролын түвшнээс эрс ялгаатай байна: бүрэн дунд боловсролтой иргэдийн 7.4% ажилгүй байхад дээд боловсролтой иргэдийн зөвхөн 5.6% нь ажилгүй байгаа нь боло</w:t>
      </w:r>
      <w:r>
        <w:t>всрол хөдөлмөрийн зах зээл дэх байр суурьтай хүчтэй холбоотой болохыг харуулна (Ай Ар Ай Эм, 2015).</w:t>
      </w:r>
    </w:p>
    <w:p w14:paraId="03842C47" w14:textId="77777777" w:rsidR="000B782D" w:rsidRDefault="0018275F">
      <w:pPr>
        <w:ind w:firstLine="567"/>
        <w:jc w:val="both"/>
      </w:pPr>
      <w:r>
        <w:t>Монгол Улс дахь боловсролын өгөөжийн эмпирик судалгаа хомс хэвээр байна. Pastore (2010) 2007–2008 оны түүвэрт тулгуурлан залуучуудын боловсролын өгөөжийг 7–</w:t>
      </w:r>
      <w:r>
        <w:t>9% орчим хэмээн тогтоосон боловч уг бүтээлд шугаман бус байдал, эндогений хамаарал, хэрэгсэл хувьсагчийн засвар зэрэг орчин үеийн эконометрик сорилтуудыг бүрэн авч үзээгүй болно. Ай Ар Ай Эм ХХК (2015)-ийн Боловсрол, Соёл, Шинжлэх Ухаан, Спортын Яаманд хий</w:t>
      </w:r>
      <w:r>
        <w:t>сэн Хөдөлмөрийн зах зээлийн шинжилгээнд дээд боловсролын OLS өгөөжийг 41% гэж үнэлсэн ч хэрэгсэл хувьсагч, босго шинжилгээ хийгдээгүй. Иймд Монголын өрхийн микро өгөгдөл дээр IV ба босго шинжилгээг хослуулан хэрэгжүүлэх нь өнөөгийн эмпирик уран зохиолын хо</w:t>
      </w:r>
      <w:r>
        <w:t>осрол юм.</w:t>
      </w:r>
    </w:p>
    <w:p w14:paraId="00A34111" w14:textId="77777777" w:rsidR="000B782D" w:rsidRDefault="0018275F">
      <w:pPr>
        <w:pStyle w:val="Heading2"/>
        <w:spacing w:after="120"/>
      </w:pPr>
      <w:r>
        <w:t>Судалгааны зорилго, зорилтууд</w:t>
      </w:r>
    </w:p>
    <w:p w14:paraId="1203CF2B" w14:textId="77777777" w:rsidR="000B782D" w:rsidRDefault="0018275F">
      <w:pPr>
        <w:ind w:firstLine="567"/>
        <w:jc w:val="both"/>
      </w:pPr>
      <w:r>
        <w:lastRenderedPageBreak/>
        <w:t xml:space="preserve">Энэхүү судалгааны гол асуудлыг дараах гурван асуултаар томьёолов: (i) Монгол Улс дахь боловсролын нэмэлт нэг жилийн шалтгаант өгөөж хэр хэмжээтэй вэ?; (ii) уг өгөөж нь боловсролын жилийн хэмжээнээс хамаарсан бүтцийн </w:t>
      </w:r>
      <w:r>
        <w:t>босготой эсэх?; (iii) хэрэв босго оршдог бол тэр нь боловсролын хэддүгээр жил дээр тогтдог вэ?</w:t>
      </w:r>
    </w:p>
    <w:p w14:paraId="372F5B9F" w14:textId="77777777" w:rsidR="000B782D" w:rsidRDefault="0018275F">
      <w:pPr>
        <w:ind w:firstLine="567"/>
        <w:jc w:val="both"/>
      </w:pPr>
      <w:r>
        <w:t>Судалгааны зорилго нь ӨНЭЗС-ийн өрхийн микро өгөгдөлд тулгуурлан Монгол Улс дахь боловсролын бодит өгөөжийн шугаман ба шугаман бус бүтцийг хэрэгсэл хувьсагчтай б</w:t>
      </w:r>
      <w:r>
        <w:t>осготой регрессийн аргаар үнэлж, Монголын хөдөлмөрийн зах зээлд дипломын нэмэгдэл үзэгдэл (sheepskin effect) оршин буй эсэхэд эмпирик хариулт өгөх явдал юм.</w:t>
      </w:r>
    </w:p>
    <w:p w14:paraId="2EDAAE2E" w14:textId="77777777" w:rsidR="000B782D" w:rsidRDefault="0018275F">
      <w:pPr>
        <w:jc w:val="both"/>
      </w:pPr>
      <w:r>
        <w:t>Энэ зорилгын хүрээнд дараах зорилтуудыг тавьсан:</w:t>
      </w:r>
    </w:p>
    <w:p w14:paraId="1658DA8D" w14:textId="77777777" w:rsidR="000B782D" w:rsidRDefault="0018275F">
      <w:pPr>
        <w:spacing w:before="60" w:after="60"/>
        <w:ind w:firstLine="567"/>
        <w:jc w:val="both"/>
      </w:pPr>
      <w:r>
        <w:t>1) Минсерийн цалингийн тэгшитгэлийг ӨНЭЗС-ийн тава</w:t>
      </w:r>
      <w:r>
        <w:t>н давалгааны нэгтгэсэн өгөгдөл дээр OLS аргаар үнэлж, боловсролын өгөөжийн суурь үнэлгээг гарган авах;</w:t>
      </w:r>
    </w:p>
    <w:p w14:paraId="69C523C5" w14:textId="77777777" w:rsidR="000B782D" w:rsidRDefault="0018275F">
      <w:pPr>
        <w:spacing w:before="60" w:after="60"/>
        <w:ind w:firstLine="567"/>
        <w:jc w:val="both"/>
      </w:pPr>
      <w:r>
        <w:t>2) Төрсөн когорт × аймаг × давалгаагаар псевдо-панел үүсгэн фиксэлсэн болон санамсаргүй нөлөөний загваруудыг харьцуулж, Хаусманы шалгуураар тохирох загва</w:t>
      </w:r>
      <w:r>
        <w:t>рыг сонгох;</w:t>
      </w:r>
    </w:p>
    <w:p w14:paraId="4AFA2085" w14:textId="77777777" w:rsidR="000B782D" w:rsidRDefault="0018275F">
      <w:pPr>
        <w:spacing w:before="60" w:after="60"/>
        <w:ind w:firstLine="567"/>
        <w:jc w:val="both"/>
      </w:pPr>
      <w:r>
        <w:t>3) Боловсролын эндогений шинжийг засах зорилгоор гурван хэрэгсэл хувьсагчтайгаар (төрсөн аймаг, Улаанбаатар хүртэлх зай, сумын ЕБС-ийн багш/сурагчийн харьцаа) 2SLS үнэлгээг хийж, Клейберген–Паапын F статистикаар хэрэгсэл хувьсагчийн хүчийг шалг</w:t>
      </w:r>
      <w:r>
        <w:t>ах;</w:t>
      </w:r>
    </w:p>
    <w:p w14:paraId="78BE73FE" w14:textId="77777777" w:rsidR="000B782D" w:rsidRDefault="0018275F">
      <w:pPr>
        <w:spacing w:before="60" w:after="60"/>
        <w:ind w:firstLine="567"/>
        <w:jc w:val="both"/>
      </w:pPr>
      <w:r>
        <w:t>4) Caner ба Hansen (2004)-ийн хэрэгсэл хувьсагчтай босготой регрессийн аргачлалаар боловсролын жилийн хэмжээнд бүтцийн хугарал оршиж буй эсэхийг сүлжээн хайлтаар тогтоож, оновчтой босго γ*-ыг үнэлэх;</w:t>
      </w:r>
    </w:p>
    <w:p w14:paraId="3D74C3C5" w14:textId="77777777" w:rsidR="000B782D" w:rsidRDefault="0018275F">
      <w:pPr>
        <w:spacing w:before="60" w:after="60"/>
        <w:ind w:firstLine="567"/>
        <w:jc w:val="both"/>
      </w:pPr>
      <w:r>
        <w:t>5) Бүтцийн хугарлын статистик ач холбогдлыг 1,000 уд</w:t>
      </w:r>
      <w:r>
        <w:t>аагийн дахин түүвэрлэх шалгууранд (wild bootstrap) тулгуурласан SupWald тестээр шалгах;</w:t>
      </w:r>
    </w:p>
    <w:p w14:paraId="43873701" w14:textId="77777777" w:rsidR="000B782D" w:rsidRDefault="0018275F">
      <w:pPr>
        <w:spacing w:before="60" w:after="60"/>
        <w:ind w:firstLine="567"/>
        <w:jc w:val="both"/>
      </w:pPr>
      <w:r>
        <w:t>6) Үр дүнг дэд түүврийн шинжилгээ, хяналтын тест (placebo), Хекманы сонголтын засвараар баталгаажуулж, тогтвортой байдлыг шалгах;</w:t>
      </w:r>
    </w:p>
    <w:p w14:paraId="3556046B" w14:textId="77777777" w:rsidR="000B782D" w:rsidRDefault="0018275F">
      <w:pPr>
        <w:spacing w:before="60" w:after="60"/>
        <w:ind w:firstLine="567"/>
        <w:jc w:val="both"/>
      </w:pPr>
      <w:r>
        <w:t>7) Эмпирик үр дүнд тулгуурласан бодлог</w:t>
      </w:r>
      <w:r>
        <w:t>ын саналыг боловсруулах.</w:t>
      </w:r>
    </w:p>
    <w:p w14:paraId="3FF45BA8" w14:textId="77777777" w:rsidR="000B782D" w:rsidRDefault="0018275F">
      <w:pPr>
        <w:pStyle w:val="Heading2"/>
        <w:spacing w:after="120"/>
      </w:pPr>
      <w:r>
        <w:t>Судалгааны шинэлэг тал</w:t>
      </w:r>
    </w:p>
    <w:p w14:paraId="1C6D0D42" w14:textId="77777777" w:rsidR="000B782D" w:rsidRDefault="0018275F">
      <w:pPr>
        <w:ind w:firstLine="567"/>
        <w:jc w:val="both"/>
      </w:pPr>
      <w:r>
        <w:t>Уг судалгаа нь дараах дөрвөн чиглэлд шинжлэх ухааны хувь нэмэр оруулав. Аргачлалын хувьд, Caner ба Hansen (2004)-ийн IVTR аргыг Монгол Улсын өрхийн микро өгөгдөлд анх удаа хэрэглэсэн бөгөөд уг алгоритмыг R хэ</w:t>
      </w:r>
      <w:r>
        <w:t xml:space="preserve">л дээр гарын авлагаар </w:t>
      </w:r>
      <w:r>
        <w:lastRenderedPageBreak/>
        <w:t>хэрэгжүүлж, дахин хэрэглэгдэх код бэлтгэв. Онолын хувьд, Jaeger ба Page (1996)-ийн "дипломын нэмэгдэл" үзэгдэл (sheepskin effect) болон Spence (1973)-ийн дохионы онолын таамаглалыг Монголын хөдөлмөрийн зах зээл дээр эмпирикээр шалгаса</w:t>
      </w:r>
      <w:r>
        <w:t>н анхны ажил юм. Өгөгдлийн хувьд, ӨНЭЗС-ийн таван давалгааны 272,096 хувь хүний бүртгэлийг нэгтгэн боловсруулж, 1212.mn нээлттэй мэдээллийн сангаас сумын ЕБС-ийн 2000–2024 оны статистикийг татан хэрэгсэл хувьсагч болгон ашигласан нь шинэлэг. Бодлогын хувьд</w:t>
      </w:r>
      <w:r>
        <w:t>, босгон дээрх 3.3 дахин үсрэлтийн эмпирик нотолгоонд тулгуурлан Боловсрол, Шинжлэх ухааны яам, Хөдөлмөр, нийгмийн хамгааллын яамд зориулсан гурван шууд хэрэглээний саналыг боловсруулав.</w:t>
      </w:r>
    </w:p>
    <w:p w14:paraId="1EA24C8F" w14:textId="77777777" w:rsidR="000B782D" w:rsidRDefault="0018275F">
      <w:pPr>
        <w:pStyle w:val="Heading2"/>
        <w:spacing w:after="120"/>
      </w:pPr>
      <w:r>
        <w:t>Судалгааны объект, хамрах хүрээ</w:t>
      </w:r>
    </w:p>
    <w:p w14:paraId="535FCA89" w14:textId="77777777" w:rsidR="000B782D" w:rsidRDefault="0018275F">
      <w:pPr>
        <w:ind w:firstLine="567"/>
        <w:jc w:val="both"/>
      </w:pPr>
      <w:r>
        <w:t xml:space="preserve">Судалгааны объект нь Монгол </w:t>
      </w:r>
      <w:r>
        <w:t>Улсын 25–60 насны цалин хөлстэй хөдөлмөр эрхэлж буй иргэд юм. Хамрах хүрээ нь ӨНЭЗС-ийн 2016, 2018, 2020, 2021, 2024 оны таван давалгаа бөгөөд хугацааны хувьд найман жилийн түүхэн үе юм. Үндсэн шинжилгээнд 2020+2021+2024 оны гурван давалгааны төрсөн аймгий</w:t>
      </w:r>
      <w:r>
        <w:t>н мэдээлэлтэй 12,020 хүнийг ашигласан бол робастнес шинжилгээний үе шатанд 2016+2018 оны давалгаануудыг нэмж оруулж нийт 49,366 хүний өгөгдлийг хамруулав. Ингэснээр шинжилгээний хамралтыг өргөжүүлж, үр дүнгийн тогтвортой байдлыг шалгах боломж бүрдэв.</w:t>
      </w:r>
    </w:p>
    <w:p w14:paraId="1CE9D9A4" w14:textId="77777777" w:rsidR="000B782D" w:rsidRDefault="0018275F">
      <w:r>
        <w:br w:type="page"/>
      </w:r>
    </w:p>
    <w:p w14:paraId="524F2352" w14:textId="77777777" w:rsidR="000B782D" w:rsidRDefault="0018275F">
      <w:pPr>
        <w:pStyle w:val="Heading1"/>
        <w:spacing w:after="240"/>
      </w:pPr>
      <w:bookmarkStart w:id="6" w:name="_Toc227332436"/>
      <w:r>
        <w:rPr>
          <w:sz w:val="28"/>
        </w:rPr>
        <w:lastRenderedPageBreak/>
        <w:t>I Б</w:t>
      </w:r>
      <w:r>
        <w:rPr>
          <w:sz w:val="28"/>
        </w:rPr>
        <w:t>ҮЛЭГ. СУДЛАГДСАН БАЙДАЛ</w:t>
      </w:r>
      <w:bookmarkEnd w:id="6"/>
    </w:p>
    <w:p w14:paraId="410AEA37" w14:textId="77777777" w:rsidR="000B782D" w:rsidRDefault="0018275F">
      <w:pPr>
        <w:pStyle w:val="Heading2"/>
        <w:spacing w:after="120"/>
      </w:pPr>
      <w:r>
        <w:t>1.1. Боловсролын өгөөжийн сонгодог онол</w:t>
      </w:r>
    </w:p>
    <w:p w14:paraId="5AC80942" w14:textId="77777777" w:rsidR="000B782D" w:rsidRDefault="0018275F">
      <w:pPr>
        <w:ind w:firstLine="567"/>
        <w:jc w:val="both"/>
      </w:pPr>
      <w:r>
        <w:t xml:space="preserve">Боловсролын нэмэлт нэг жилийн цалингийн өгөөжийг эмпирикээр үнэлэх сонгодог хэлбэр нь Mincer (1974)-ийн цалингийн тэгшитгэл юм. Уг тэгшитгэл нь хүмүүн капиталын онолын (Schultz, 1961; Becker, </w:t>
      </w:r>
      <w:r>
        <w:t>1964) практик хэрэглээ бөгөөд боловсролыг хөдөлмөрийн бүтээмжийг нэмэгдүүлэгч хөрөнгө оруулалт хэмээн үздэг. Монголбанкны судлаач Болдбаатар (2017) нар хүмүүн капиталын онолын үүднээс хувь хүний авъяас чадвар, эзэмшсэн мэргэжил нь эдийн засгийн өсөлтийн чу</w:t>
      </w:r>
      <w:r>
        <w:t>хал хүчин зүйл болж, орчин үеийн мэдлэгт суурилсан эдийн засгийн хөгжлийн гол үндэс болдог болохыг тэмдэглэсэн байдаг.</w:t>
      </w:r>
    </w:p>
    <w:p w14:paraId="47181B8B" w14:textId="77777777" w:rsidR="000B782D" w:rsidRDefault="0018275F">
      <w:pPr>
        <w:ind w:firstLine="567"/>
        <w:jc w:val="both"/>
      </w:pPr>
      <w:r>
        <w:t>Минсерийн тэгшитгэл нь дараах үндсэн хэлбэртэй байна:</w:t>
      </w:r>
    </w:p>
    <w:p w14:paraId="02E572E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(1)</w:t>
      </w:r>
    </w:p>
    <w:p w14:paraId="37768FE4" w14:textId="77777777" w:rsidR="000B782D" w:rsidRDefault="0018275F">
      <w:pPr>
        <w:ind w:firstLine="567"/>
        <w:jc w:val="both"/>
      </w:pPr>
      <w:r>
        <w:t xml:space="preserve">Энд lnw нь цалингийн </w:t>
      </w:r>
      <w:r>
        <w:t>логарифм, educ нь төгссөн боловсролын жил, exp нь ажлын туршлагын жил, ε нь алдаа гэсэн хувьсагчуудаас бүрдэнэ. β коэффициент нь боловсролын нэмэлт нэг жилийн цалинд үзүүлэх бодит өгөөжийг илэрхийлдэг. Psacharopoulos ба Patrinos (2018)-ийн 139 орныг хамарс</w:t>
      </w:r>
      <w:r>
        <w:t>ан мета-шинжилгээгээр уг β коэффициентийн дэлхийн дундаж утга 9.0% бөгөөд, дээд боловсролын өгөөж нь дунджаар 14.6% гэж тогтоогдсон байдаг.</w:t>
      </w:r>
    </w:p>
    <w:p w14:paraId="5A7AF499" w14:textId="77777777" w:rsidR="000B782D" w:rsidRDefault="0018275F">
      <w:pPr>
        <w:ind w:firstLine="567"/>
        <w:jc w:val="both"/>
      </w:pPr>
      <w:r>
        <w:t>Гэхдээ OLS үнэлгээ нь хоёр эндогений асуудалтай гэдэг нь урт хугацааны турш маргаан үүсгэсээр ирсэн. Нэгдүгээрт, хув</w:t>
      </w:r>
      <w:r>
        <w:t>ь хүний боловсролын сонголт нь ажиглагдахгүй ур чадвар, авъяастай хамааралтай байдаг тул OLS-ийн β үнэлгээ дээш чиглэсэн хазайлтад орж, ур чадварын нөлөөг боловсролын нөлөө мэтээр хэмжиж болно. Хоёрдугаарт, боловсролын жилийн мэдээлэлд хэмжилтийн алдаа бий</w:t>
      </w:r>
      <w:r>
        <w:t xml:space="preserve"> болох нь коэффициентийг доош чиглүүлсэн хэмжилтийн хазайлтад (attenuation bias) хүргэдэг. Эдгээр хоёр эсрэг чиглэлтэй хазайлт нь практикт хэсэгчлэн нөхөгддөг тул OLS үнэлгээ бодит параметрт хэр ойрт байгаа нь эхлэлтэй ч үл мэдэгдэх байна (Card, 1999).</w:t>
      </w:r>
    </w:p>
    <w:p w14:paraId="3A066919" w14:textId="77777777" w:rsidR="000B782D" w:rsidRDefault="0018275F">
      <w:pPr>
        <w:pStyle w:val="Heading2"/>
        <w:spacing w:after="120"/>
      </w:pPr>
      <w:r>
        <w:t>1.2</w:t>
      </w:r>
      <w:r>
        <w:t>. Хэрэгсэл хувьсагчийн уламжлал</w:t>
      </w:r>
    </w:p>
    <w:p w14:paraId="22FAC3EB" w14:textId="77777777" w:rsidR="000B782D" w:rsidRDefault="0018275F">
      <w:pPr>
        <w:ind w:firstLine="567"/>
        <w:jc w:val="both"/>
      </w:pPr>
      <w:r>
        <w:t xml:space="preserve">OLS-ийн эндогений хазайлтыг засах хамгийн түгээмэл стратеги нь хэрэгсэл хувьсагч (IV) ашиглах арга юм. Card (1993) нь АНУ-д ойр коллежтэй нутагт өссөн байдал нь хувь хүний боловсролын шийдвэрт нөлөөлдөг боловч цалинд зөвхөн </w:t>
      </w:r>
      <w:r>
        <w:t xml:space="preserve">боловсролоор дамжин нөлөөлдөг гэсэн онолын үндэслэлээр коллежийн газарзүйн ойртоцыг хэрэгсэл </w:t>
      </w:r>
      <w:r>
        <w:lastRenderedPageBreak/>
        <w:t xml:space="preserve">хувьсагч болгон ашигласан. Уг судалгаанд IV-ийн 2SLS үнэлгээ нь OLS үнэлгээнээс 25–60%-иар өндөр гарсан нь боловсролын хэмжилтийн алдаанаас үүдэлтэй доош чиглэсэн </w:t>
      </w:r>
      <w:r>
        <w:t>хазайлт нь ур чадварын нөлөөнөөс давамгайлж байгааг илрүүлсэн чухал эмпирик нотолгоо байв.</w:t>
      </w:r>
    </w:p>
    <w:p w14:paraId="093ACE10" w14:textId="77777777" w:rsidR="000B782D" w:rsidRDefault="0018275F">
      <w:pPr>
        <w:ind w:firstLine="567"/>
        <w:jc w:val="both"/>
      </w:pPr>
      <w:r>
        <w:t xml:space="preserve">Duflo (2001) нь "American Economic Review" сэтгүүлд нийтлэгдсэн сонгодог бүтээлдээ Индонезийн INPRES сургуулийн бүтээх хөтөлбөрийг байгалийн туршилт болгон ашиглав. </w:t>
      </w:r>
      <w:r>
        <w:t>Уг бүтээлд 1973–1978 онд Индонез улс 1,000 хүүхдэд нэг шинэ ЕБС барьсан нь дундаж боловсролын жилийг 0.12–0.19 жилээр, цалинг 1.5–2.7%-иар нэмэгдүүлсэн болохыг тогтоосон. Үүнээс тооцох боловсролын өгөөж 6.8–10.6% бөгөөд, энэ нь хөгжиж буй орны сургуулийн б</w:t>
      </w:r>
      <w:r>
        <w:t>үтээн байгуулалт нь хүмүүн капиталын хуримтлалд шууд үр нөлөөтэй болохыг харуулж байна. Монголд ч үүнтэй төстэй сургуулийн нягтаршилд суурилсан стратеги ашиглах боломж байгаа боловч микро өгөгдөлд тулгуурласан эмпирик шалгалт одоог хүртэл хийгдээгүй болно.</w:t>
      </w:r>
    </w:p>
    <w:p w14:paraId="2FFFFE6D" w14:textId="77777777" w:rsidR="000B782D" w:rsidRDefault="0018275F">
      <w:pPr>
        <w:pStyle w:val="Heading2"/>
        <w:spacing w:after="120"/>
      </w:pPr>
      <w:r>
        <w:t>1.3. Босготой регрессийн уламжлал</w:t>
      </w:r>
    </w:p>
    <w:p w14:paraId="0AD0616F"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өөр параметр үнэлэх аргачлал юм. Hansen (2000) нь экзоген регрессортой тохиолдолд босгыг үнэлэх алгоритмыг боловсру</w:t>
      </w:r>
      <w:r>
        <w:t>улж, босгоны статистик ач холбогдлыг хэмжих SupWald шалгуурыг дэвшүүлжээ. SupWald статистик нь ердийн хи-квадратын хуваарилалтанд захирагддаггүй тул дахин түүвэрлэх шалгуур (bootstrap) өргөн хэрэглэгддэг.</w:t>
      </w:r>
    </w:p>
    <w:p w14:paraId="77369DE3" w14:textId="77777777" w:rsidR="000B782D" w:rsidRDefault="0018275F">
      <w:pPr>
        <w:ind w:firstLine="567"/>
        <w:jc w:val="both"/>
      </w:pPr>
      <w:r>
        <w:t>Hansen (2000)-ийн загвар зөвхөн экзоген регрессорто</w:t>
      </w:r>
      <w:r>
        <w:t>й нөхцөлд хэрэглэгддэг учир боловсрол зэрэг эндогений шинжтэй хувьсагчид тохирохгүй байв. Энэхүү хязгаарлалтыг арилгах зорилгоор Caner ба Hansen (2004) нь хэрэгсэл хувьсагч ба босгыг нэг загварт нэгтгэсэн IVTR алгоритмыг дэвшүүлэв. Уг арга нь санхүүгийн хө</w:t>
      </w:r>
      <w:r>
        <w:t>гжлийн босго, хөгжлийн тусламжийн үр нөлөө, бичил санхүүгийн өгөөж зэрэг олон салбарт хэрэглэгдсэн боловч хөдөлмөрийн эдийн засгийн контекстэд өргөн хэрэглэгдээгүй байгаагийн гол жишээ нь Chakroun (2013)-ын санхүүгийн хөгжил ба тэгш бус байдлын босго шинжи</w:t>
      </w:r>
      <w:r>
        <w:t>лгээний ажил юм.</w:t>
      </w:r>
    </w:p>
    <w:p w14:paraId="05540102" w14:textId="77777777" w:rsidR="000B782D" w:rsidRDefault="0018275F">
      <w:pPr>
        <w:ind w:firstLine="567"/>
        <w:jc w:val="both"/>
      </w:pPr>
      <w:r>
        <w:t>Монголын эмпирик уран зохиолд босго загварыг сүүлийн үед хэрэглэж эхэлсэн бөгөөд Даваажаргал ба Цолмон (2019) нар Монголбанкны "Товхимол 14" судалгааны ажлын цувралд Threshold SVAR загварыг Монголд анх удаа хэрэглэж, Засгийн газрын өрийн х</w:t>
      </w:r>
      <w:r>
        <w:t xml:space="preserve">эмжээний төсвийн бодлогын үр нөлөөнд нөлөөлж буйг харуулсан. Харин өрхийн </w:t>
      </w:r>
      <w:r>
        <w:lastRenderedPageBreak/>
        <w:t>микро өгөгдөл дээр IV ба босго шинжилгээг хослуулсан бүтээл Монголд одоо хүртэл байхгүй бөгөөд энэхүү судалгаа нь тэр хоосролыг нөхөхийг зорьж байна.</w:t>
      </w:r>
    </w:p>
    <w:p w14:paraId="02B760CE" w14:textId="77777777" w:rsidR="000B782D" w:rsidRDefault="0018275F">
      <w:pPr>
        <w:pStyle w:val="Heading2"/>
        <w:spacing w:after="120"/>
      </w:pPr>
      <w:r>
        <w:t>1.4. Монголын хүрээн дэх өмнөх с</w:t>
      </w:r>
      <w:r>
        <w:t>удалгаа</w:t>
      </w:r>
    </w:p>
    <w:p w14:paraId="50095F5B" w14:textId="77777777" w:rsidR="000B782D" w:rsidRDefault="0018275F">
      <w:pPr>
        <w:ind w:firstLine="567"/>
        <w:jc w:val="both"/>
      </w:pPr>
      <w:r>
        <w:t xml:space="preserve">Монгол Улс дахь боловсролын өгөөжийн эмпирик судалгаа цөөн тоотой боловч хэд хэдэн чухал бүтээл байна. Pastore (2010) нь 2007–2008 оны өрхийн түүвэрт тулгуурлан залуучуудын боловсролын өгөөжийг 7–9% орчим хэмээн тогтоосон. Гэвч уг бүтээл нь энгийн </w:t>
      </w:r>
      <w:r>
        <w:t>OLS хэлбэрийн үнэлгээгээр хязгаарлагдсан бөгөөд хэрэгсэл хувьсагч, шугаман бус шинжилгээг хийгээгүй. Түүнчлэн тус судалгааны цаг үе 2008 оны боловсролын шинэчлэл (10 жилээс 12 жил болсон), дээд боловсролын хамралт 3 дахин өссөн зэрэг бүтцийн өөрчлөлтүүдээс</w:t>
      </w:r>
      <w:r>
        <w:t xml:space="preserve"> өмнөх үеийг хамардаг тул одоогийн Монгол Улсын нөхцөл байдалтай нийцэхгүй болж байна.</w:t>
      </w:r>
    </w:p>
    <w:p w14:paraId="129BF976" w14:textId="77777777" w:rsidR="000B782D" w:rsidRDefault="0018275F">
      <w:pPr>
        <w:ind w:firstLine="567"/>
        <w:jc w:val="both"/>
      </w:pPr>
      <w:r>
        <w:t>Ай Ар Ай Эм ХХК (2015) нь Боловсрол, Соёл, Шинжлэх Ухаан, Спортын Яамны захиалгаар "Хөдөлмөрийн зах зээлийн шинжилгээ" тайланг боловсруулж, Ажиллах Хүчний Судалгааны (АХ</w:t>
      </w:r>
      <w:r>
        <w:t>С) 2013 оны өгөгдөлд тулгуурласан Минсерийн регрессийн үр дүнг танилцуулжээ. Уг тайлангийн гол дүгнэлт нь дээд боловсролтой иргэд бүрэн дунд боловсролтой иргэдээс дунджаар 41%, дипломын дараах (магистр, доктор) зэрэгтэй иргэд 54% илүү цалин авдаг байна гэс</w:t>
      </w:r>
      <w:r>
        <w:t>эн явдал юм. Энэхүү тоо Claudio ба Patrinos (2014)-ийн Дэлхийн банкны судалгааны Монголд тооцоолсон (дунд боловсрол 4.2%, дээд боловсрол 10.1%)-тай харьцуулах боломжтой. Гэвч Ай Ар Ай Эм-ийн тайланд IV, босго шинжилгээ хийгдээгүй.</w:t>
      </w:r>
    </w:p>
    <w:p w14:paraId="04BDCE5B" w14:textId="77777777" w:rsidR="000B782D" w:rsidRDefault="0018275F">
      <w:pPr>
        <w:ind w:firstLine="567"/>
        <w:jc w:val="both"/>
      </w:pPr>
      <w:r>
        <w:t>Эндээс үзвэл Монголын эмп</w:t>
      </w:r>
      <w:r>
        <w:t>ирик уран зохиолд боловсролын өгөөжийг микро өгөгдөл дээр IV, босго хэлбэрээр нэгтгэн үнэлсэн ажил одоог хүртэл хийгдээгүй байна. Ижил төрлийн сорилт бусад шилжилтийн эдийн засгуудад ч тохиолдож буй бөгөөд уг хоосролыг нөхөх нь Монголын хөдөлмөрийн эдийн з</w:t>
      </w:r>
      <w:r>
        <w:t>асгийн судалгаанд чухал хувь нэмэр оруулах боломжтой.</w:t>
      </w:r>
    </w:p>
    <w:p w14:paraId="00A22C2A" w14:textId="77777777" w:rsidR="000B782D" w:rsidRDefault="0018275F">
      <w:r>
        <w:br w:type="page"/>
      </w:r>
    </w:p>
    <w:p w14:paraId="6884F616" w14:textId="77777777" w:rsidR="000B782D" w:rsidRDefault="0018275F">
      <w:pPr>
        <w:pStyle w:val="Heading1"/>
        <w:spacing w:after="240"/>
      </w:pPr>
      <w:bookmarkStart w:id="7" w:name="_Toc227332437"/>
      <w:r>
        <w:rPr>
          <w:sz w:val="28"/>
        </w:rPr>
        <w:lastRenderedPageBreak/>
        <w:t>II БҮЛЭГ. СУДАЛГААНЫ АРГА ЗҮЙ</w:t>
      </w:r>
      <w:bookmarkEnd w:id="7"/>
    </w:p>
    <w:p w14:paraId="4FE197FD" w14:textId="77777777" w:rsidR="000B782D" w:rsidRDefault="0018275F">
      <w:pPr>
        <w:ind w:firstLine="567"/>
        <w:jc w:val="both"/>
      </w:pPr>
      <w:r>
        <w:t>Энэхүү судалгаанд боловсролын өгөөжийн бодит хэмжээг үнэлэхдээ дөрвөн шатлалт эконометрик шинжилгээг явуулав. Нэгдүгээр шатанд Минсерийн сонгодог цалингийн тэгшитгэлийг э</w:t>
      </w:r>
      <w:r>
        <w:t>нгийн OLS аргаар үнэлж суурь үнэлгээг гаргана. Хоёрдугаар шатанд төрсөн когорт × аймаг × давалгааны псевдо-панелийн нүднүүд дээр фиксэлсэн ба санамсаргүй нөлөөний загваруудыг харьцуулан Хаусманы шалгуураар тохирох загварыг сонгоно. Гуравдугаар шатанд болов</w:t>
      </w:r>
      <w:r>
        <w:t>сролын эндогений шинжийг арилгах зорилгоор хоёр шатлалт хамгийн бага квадратын (2SLS) аргыг хэрэглэнэ. Эцсийн шатанд Caner ба Hansen (2004)-ийн хэрэгсэл хувьсагчтай босготой регрессийг хэрэгжүүлж, боловсролын жилийн хэмжээнд бүтцийн хугарал оршиж буй эсэхи</w:t>
      </w:r>
      <w:r>
        <w:t>йг тогтооно. Ийнхүү шатлан явуулах нь үр дүнгийн тогтвортой байдлыг баталгаажуулах шаардлагатай болно.</w:t>
      </w:r>
    </w:p>
    <w:p w14:paraId="1C909CBB" w14:textId="77777777" w:rsidR="000B782D" w:rsidRDefault="0018275F">
      <w:pPr>
        <w:pStyle w:val="Heading2"/>
        <w:spacing w:after="120"/>
      </w:pPr>
      <w:r>
        <w:t>2.1. OLS-ийн Минсерийн загвар</w:t>
      </w:r>
    </w:p>
    <w:p w14:paraId="72D960E9" w14:textId="77777777" w:rsidR="000B782D" w:rsidRDefault="0018275F">
      <w:pPr>
        <w:ind w:firstLine="567"/>
        <w:jc w:val="both"/>
      </w:pPr>
      <w:r>
        <w:t>Суурь загвар нь цалингийн логарифмыг боловсролын жил, ажлын туршлага, туршлагын квадрат болон хяналтын хувьсагчуудаар тайлб</w:t>
      </w:r>
      <w:r>
        <w:t>арлах өргөтгөсөн Минсерийн тэгшитгэл юм:</w:t>
      </w:r>
    </w:p>
    <w:p w14:paraId="1867C69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r>
          <m:rPr>
            <m:sty m:val="bi"/>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6039E006" w14:textId="77777777" w:rsidR="000B782D" w:rsidRDefault="0018275F">
      <w:pPr>
        <w:ind w:firstLine="567"/>
        <w:jc w:val="both"/>
      </w:pPr>
      <w:r>
        <w:t xml:space="preserve">Энд X нь хяналтын хувьсагчдын багц (хүйс, гэр бүлийн байдал, суурьшил, өрхийн хэмжээ, эдийн засгийн салбарын ангилал), μₐ нь аймгийн </w:t>
      </w:r>
      <w:r>
        <w:t>фиксэлсэн нөлөө, τₜ нь ӨНЭЗС-ийн давалгааны фиксэлсэн нөлөө юм. Стандарт алдааг аймаг тус бүрээр кластерлагдсан хэлбэрээр тооцсон бөгөөд энэ нь ижил аймаг доторх ажиглалтуудын хүрээнд үүсэх боломжит корреляцийг харгалзан авдаг.</w:t>
      </w:r>
    </w:p>
    <w:p w14:paraId="2754323A" w14:textId="77777777" w:rsidR="000B782D" w:rsidRDefault="0018275F">
      <w:pPr>
        <w:pStyle w:val="Heading2"/>
        <w:spacing w:after="120"/>
      </w:pPr>
      <w:r>
        <w:t>2.2. Псевдо-панел FE/RE загв</w:t>
      </w:r>
      <w:r>
        <w:t>ар</w:t>
      </w:r>
    </w:p>
    <w:p w14:paraId="6417B20F" w14:textId="77777777" w:rsidR="000B782D" w:rsidRDefault="0018275F">
      <w:pPr>
        <w:ind w:firstLine="567"/>
        <w:jc w:val="both"/>
      </w:pPr>
      <w:r>
        <w:t>ӨНЭЗС нь давхардаагүй түүвэр судалгаа учраас жинхэнэ хугацаат панел байгуулах боломжгүй. Иймд Deaton (1985)-ийн псевдо-панелийн аргаар төрсөн когорт (c, 5-жилийн бүлэглэл) × аймаг (a) × давалгаа (t) гэсэн гурван хэмжээсээр нүдлэн нэгтгэж, нийт 692 нүдтэ</w:t>
      </w:r>
      <w:r>
        <w:t>й бүтцийг үүсгэв. Фиксэлсэн нөлөөний (FE) загвар дараах хэлбэртэй:</w:t>
      </w:r>
    </w:p>
    <w:p w14:paraId="7C16E53A"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m:rPr>
                    <m:sty m:val="bi"/>
                  </m:rPr>
                  <w:rPr>
                    <w:rFonts w:ascii="Cambria Math" w:hAnsi="Cambria Math"/>
                  </w:rPr>
                  <m:t>X</m:t>
                </m:r>
              </m:e>
            </m:bar>
          </m:e>
          <m:sub>
            <m:r>
              <w:rPr>
                <w:rFonts w:ascii="Cambria Math" w:hAnsi="Cambria Math"/>
              </w:rPr>
              <m:t>cat</m:t>
            </m:r>
          </m:sub>
          <m:sup>
            <m:r>
              <m:rPr>
                <m:sty m:val="p"/>
              </m:rPr>
              <w:rPr>
                <w:rFonts w:ascii="Cambria Math" w:hAnsi="Cambria Math"/>
              </w:rPr>
              <m:t>'</m:t>
            </m:r>
          </m:sup>
        </m:sSubSup>
        <m:r>
          <m:rPr>
            <m:sty m:val="bi"/>
          </m:rP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564E4F9" w14:textId="77777777" w:rsidR="000B782D" w:rsidRDefault="0018275F">
      <w:pPr>
        <w:ind w:firstLine="567"/>
        <w:jc w:val="both"/>
      </w:pPr>
      <w:r>
        <w:t>Энд c тус бүрийн нүдний хувьсагчдын дунджийг дээд зураастайгаар тэмдэглэсэн болно. Санамсарг</w:t>
      </w:r>
      <w:r>
        <w:t>үй нөлөөний (RE) загвар нь αca-г санамсаргүй хүчин зүйл гэж үзнэ. FE ба RE загваруудын сонголтыг Хаусманы шалгуураар хийв:</w:t>
      </w:r>
    </w:p>
    <w:p w14:paraId="5AB0E485" w14:textId="77777777" w:rsidR="000B782D" w:rsidRDefault="0018275F">
      <w:pPr>
        <w:tabs>
          <w:tab w:val="center" w:pos="4535"/>
          <w:tab w:val="right" w:pos="9071"/>
        </w:tabs>
      </w:pPr>
      <w:r>
        <w:lastRenderedPageBreak/>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F3BA7C5" w14:textId="77777777" w:rsidR="000B782D" w:rsidRDefault="0018275F">
      <w:pPr>
        <w:ind w:firstLine="567"/>
        <w:jc w:val="both"/>
      </w:pPr>
      <w:r>
        <w:t>Хэрэв Хаусманы статистик χ² критик утгаас давсан бол FE загварыг с</w:t>
      </w:r>
      <w:r>
        <w:t>онгоно. Энэ нь нүдний тогтмол хүчин зүйлс нь тайлбарлах хувьсагчтай корреляцитай болохыг илтгэдэг.</w:t>
      </w:r>
    </w:p>
    <w:p w14:paraId="3EA00828" w14:textId="77777777" w:rsidR="000B782D" w:rsidRDefault="0018275F">
      <w:pPr>
        <w:pStyle w:val="Heading2"/>
        <w:spacing w:after="120"/>
      </w:pPr>
      <w:r>
        <w:t>2.3. Хоёр шатлалт хамгийн бага квадратын (2SLS) арга</w:t>
      </w:r>
    </w:p>
    <w:p w14:paraId="1C65CD56" w14:textId="77777777" w:rsidR="000B782D" w:rsidRDefault="0018275F">
      <w:pPr>
        <w:ind w:firstLine="567"/>
        <w:jc w:val="both"/>
      </w:pPr>
      <w:r>
        <w:t>Боловсрол нь хувь хүний ажиглагдахгүй ур чадвар, авъяас, гэр бүлийн нөхцөлтэй нягт холбоотой тул OLS үнэ</w:t>
      </w:r>
      <w:r>
        <w:t>лгээ хазайлттай болох магадлалтай. Энэхүү эндогений шинжийг арилгахын тулд боловсролын сонголтод нөлөөлдөг боловч цалинд зөвхөн боловсролоор дамжин нөлөөлдөг гуравдагч хүчин зүйлсийг хэрэгсэл хувьсагч болгон хэрэглэх шаардлагатай.</w:t>
      </w:r>
    </w:p>
    <w:p w14:paraId="088317D0" w14:textId="77777777" w:rsidR="000B782D" w:rsidRDefault="0018275F">
      <w:pPr>
        <w:ind w:firstLine="567"/>
        <w:jc w:val="both"/>
      </w:pPr>
      <w:r>
        <w:t xml:space="preserve">Энэхүү судалгаанд гурван </w:t>
      </w:r>
      <w:r>
        <w:t>хэрэгсэл хувьсагчийг сонгов. Эхнийх нь төрсөн аймгийн 21 ангилал хувьсагч юм. Аймгийн фиксэлсэн нөлөөг хянасны дараа сумын дотоод ялгаа нь хувь хүний авъяас чадвараас хамаарахгүй, харин тухайн сумын боловсролын хүртээмжтэй холбоотой байдаг. Хоёрдох хэрэгсэ</w:t>
      </w:r>
      <w:r>
        <w:t>л нь төрсөн сумын төвөөс Улаанбаатар хүртэлх зайн логарифм — хотоос хол сумд сурах боломж бага, тээврийн зардал өндөр байсан нь боловсролын сонголтыг шууд хязгаарладаг. Гуравдах хэрэгсэл нь тухайн хүн 12 настай байх жилд төрсөн суманд ногдож байсан ЕБС-ийн</w:t>
      </w:r>
      <w:r>
        <w:t xml:space="preserve"> багш/сурагчийн харьцаа бөгөөд 1212.mn нээлттэй мэдээллийн сангаас татав. Duflo (2001)-ийн Индонезийн судалгаатай ижил логикийг Монгол Улсын нөхцөлд шилжүүлэн хэрэглэж буй явдал юм.</w:t>
      </w:r>
    </w:p>
    <w:p w14:paraId="2835498D" w14:textId="77777777" w:rsidR="000B782D" w:rsidRDefault="0018275F">
      <w:pPr>
        <w:ind w:firstLine="567"/>
        <w:jc w:val="both"/>
      </w:pPr>
      <w:r>
        <w:t>2SLS үнэлгээ нь хоёр шатаас бүрдэнэ. Эхний шатанд эндогений регрессорыг хэ</w:t>
      </w:r>
      <w:r>
        <w:t>рэгсэл хувьсагчаар багасгасан хэлбэрт (reduced-form) шилжүүлнэ:</w:t>
      </w:r>
    </w:p>
    <w:p w14:paraId="1F536889"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5DDE2017" w14:textId="77777777" w:rsidR="000B782D" w:rsidRDefault="0018275F">
      <w:pPr>
        <w:ind w:firstLine="567"/>
        <w:jc w:val="both"/>
      </w:pPr>
      <w:r>
        <w:t>Хоёр дахь шатанд эхний шатны тохирсон утгыг үндсэн тэгшитгэлд орлуулж цалингийн логарифмыг үнэлнэ:</w:t>
      </w:r>
    </w:p>
    <w:p w14:paraId="2D8207C5"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7070DC3E" w14:textId="77777777" w:rsidR="000B782D" w:rsidRDefault="0018275F">
      <w:pPr>
        <w:ind w:firstLine="567"/>
        <w:jc w:val="both"/>
      </w:pPr>
      <w:r>
        <w:t>Хэрэгсэл хувьсагчийн хүчийг Клейберген–Паапын F статистикаар (Staiger-Stock шалгуураар 10-аас их байх ёстой) шалгана. Хэрэгсэл хувьсагчийн тоо эндогений регрессорын тооноос илүү тохиолдолд Хансены J-тестээр хэт тодорхойлогдсон байдлыг шалгаж, Анде</w:t>
      </w:r>
      <w:r>
        <w:t>рсон–Рубины тэсвэртэй итгэлийн интервалыг сул хэрэгсэл хувьсагчийн тохиолдолд нэмэлтээр тооцдог.</w:t>
      </w:r>
    </w:p>
    <w:p w14:paraId="34BE21E6" w14:textId="77777777" w:rsidR="000B782D" w:rsidRDefault="0018275F">
      <w:pPr>
        <w:pStyle w:val="Heading2"/>
        <w:spacing w:after="120"/>
      </w:pPr>
      <w:r>
        <w:lastRenderedPageBreak/>
        <w:t>2.4. Хэрэгсэл хувьсагчтай босготой регресс (Caner–Hansen IVTR)</w:t>
      </w:r>
    </w:p>
    <w:p w14:paraId="7D273344" w14:textId="77777777" w:rsidR="000B782D" w:rsidRDefault="0018275F">
      <w:pPr>
        <w:ind w:firstLine="567"/>
        <w:jc w:val="both"/>
      </w:pPr>
      <w:r>
        <w:t xml:space="preserve">Судалгааны гол аргачлал нь Caner ба Hansen (2004)-ийн хэрэгсэл хувьсагчтай босготой регресс юм. </w:t>
      </w:r>
      <w:r>
        <w:t>Боловсролын өгөөж нь хувь хүний боловсролын түвшнээс шугаман бус байдлаар хамаарах магадлалтай бөгөөд энэ тохиолдолд өгөгдлийг тодорхой босго утга γ-ын доод ба дээд талд хоёр регимд хуваан, регим тус бүрийн өгөөжийн коэффициент β-г тусад нь үнэлэх нь бодит</w:t>
      </w:r>
      <w:r>
        <w:t>ой юм:</w:t>
      </w:r>
    </w:p>
    <w:p w14:paraId="63E6B92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255AEEC2" w14:textId="77777777" w:rsidR="000B782D" w:rsidRDefault="0018275F">
      <w:pPr>
        <w:ind w:firstLine="567"/>
        <w:jc w:val="both"/>
      </w:pPr>
      <w:r>
        <w:t xml:space="preserve">Энд q = educ нь босго хувьсагч бөгөөд γ нь тодорхойлогдох босгоны утга юм. educ нь эндогений регрессор тул Z хэрэгсэл хувьсагчаар </w:t>
      </w:r>
      <w:r>
        <w:t>багасгагдана.</w:t>
      </w:r>
    </w:p>
    <w:p w14:paraId="2C86422C" w14:textId="77777777" w:rsidR="000B782D" w:rsidRDefault="0018275F">
      <w:pPr>
        <w:ind w:firstLine="567"/>
        <w:jc w:val="both"/>
      </w:pPr>
      <w:r>
        <w:t>Үнэлгээний алгоритм дараах алхмуудаар хэрэгжинэ. Эхлээд эндогений регрессорыг хэрэгсэл хувьсагчаар багасгасан хэлбэрт шилжүүлнэ. Дараа нь боломжит γ-ийн утгуудыг түүврийн 15–85 хувийн хооронд сүлжээн хайлтаар (grid search) шалгаж, регим тус б</w:t>
      </w:r>
      <w:r>
        <w:t>үрт 2SLS үнэлгээ хийж, концентрацилагдсан алдааны квадратуудын нийлбэрийг (SSR) тооцно. Хамгийн бага SSR-тэй γ-г оновчтой босго γ* болгон сонгоно. Босгоны статистик ач холбогдлыг SupWald шалгуураар тогтооно:</w:t>
      </w:r>
    </w:p>
    <w:p w14:paraId="35A56694"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m:t>
            </m:r>
            <m:r>
              <w:rPr>
                <w:rFonts w:ascii="Cambria Math" w:hAnsi="Cambria Math"/>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m:t>
            </m:r>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255D1861" w14:textId="77777777" w:rsidR="000B782D" w:rsidRDefault="0018275F">
      <w:pPr>
        <w:ind w:firstLine="567"/>
        <w:jc w:val="both"/>
      </w:pPr>
      <w:r>
        <w:t>Энд</w:t>
      </w:r>
      <w:r>
        <w:t xml:space="preserve"> SSR₀ нь босгогүй (нэг регимтэй) загварын SSR, SSR(γ) нь тодорхой γ-д босгосон хоёр регимт загварын SSR юм. SupWald статистикийн хуваарилалт стандарт бус тул Радемахерийн жинтэй дахин түүвэрлэх шалгуур (wild bootstrap)-ыг 1,000 удаагийн давталтаар явуулж p</w:t>
      </w:r>
      <w:r>
        <w:t>-утгыг тооцов.</w:t>
      </w:r>
    </w:p>
    <w:p w14:paraId="7F7D0831" w14:textId="77777777" w:rsidR="000B782D" w:rsidRDefault="0018275F">
      <w:pPr>
        <w:ind w:firstLine="567"/>
        <w:jc w:val="both"/>
      </w:pPr>
      <w:r>
        <w:t>Caner–Hansen-ийн алгоритмыг хэрэгжүүлэх R эсвэл Python багц одоогоор CRAN болон PyPI дээр байхгүй байгаа нь практик сорилт болов. Иймд уг алгоритмыг R хэл дээр 180 орчим мөртэй гарын авлагын код болгон бичиж, параметр нь мэдэгдэж буй симуляц</w:t>
      </w:r>
      <w:r>
        <w:t>итай өгөгдөл дээр нэгж шалгалт (unit test) явуулан баталгаажуулав. Энэ нь дараагийн судлаачдад дахин хэрэглэгдэх код суурийг бий болгосон давхар ашиг тустай ажил болов.</w:t>
      </w:r>
    </w:p>
    <w:p w14:paraId="7AB04086" w14:textId="77777777" w:rsidR="000B782D" w:rsidRDefault="0018275F">
      <w:pPr>
        <w:pStyle w:val="Heading2"/>
        <w:spacing w:after="120"/>
      </w:pPr>
      <w:r>
        <w:t>2.5. Тогтвортой байдлын шинжилгээний бүтэц</w:t>
      </w:r>
    </w:p>
    <w:p w14:paraId="56A85747" w14:textId="77777777" w:rsidR="000B782D" w:rsidRDefault="0018275F">
      <w:pPr>
        <w:ind w:firstLine="567"/>
        <w:jc w:val="both"/>
      </w:pPr>
      <w:r>
        <w:t>Үндсэн үр дүнгийн тогтвортой байдлыг зургаан</w:t>
      </w:r>
      <w:r>
        <w:t xml:space="preserve"> төрлийн шинжилгээгээр баталгаажуулсан болно. Нэгдүгээрт, альтернатив хяналтын хувьсагчдыг нэмж </w:t>
      </w:r>
      <w:r>
        <w:lastRenderedPageBreak/>
        <w:t>регрессийг дахин үнэлэв. Хоёрдугаарт, түүврийг дэд бүлгүүдэд (эрэгтэй, эмэгтэй, хот, хөдөө, залуу, ахмад насны ажилтнууд) хуваан регрессийг тус бүрээр хийж коэф</w:t>
      </w:r>
      <w:r>
        <w:t>фициентийн тогтвортой байдлыг шалгасан. Гуравдугаарт, өөр хэрэгсэл хувьсагчдыг ашиглан 2SLS-ын коэффициент үл хувирахыг баталгаажуулсан. Дөрөвдүгээрт, хяналтын тест (placebo) хийж — ЕБС-ийн суурь боловсрол дээр IV-ийн нөлөө мэдэгдэхүйц байх ёсгүй гэсэн таа</w:t>
      </w:r>
      <w:r>
        <w:t>маглалыг шалгасан. Тавдугаарт, цалинтай ажилтан болох сонголтын хазайлтыг арилгах үүднээс Хекманы сонголтын засварыг явуулсан. Зургаадугаарт, альтернатив босго утгууд (12, 14 жил) дээр регим хоорондын ялгааны тогтвортой байдлыг шалгасан.</w:t>
      </w:r>
    </w:p>
    <w:p w14:paraId="13292FB7" w14:textId="77777777" w:rsidR="000B782D" w:rsidRDefault="0018275F">
      <w:r>
        <w:br w:type="page"/>
      </w:r>
    </w:p>
    <w:p w14:paraId="2E1828B1" w14:textId="77777777" w:rsidR="000B782D" w:rsidRDefault="0018275F">
      <w:pPr>
        <w:pStyle w:val="Heading1"/>
        <w:spacing w:after="240"/>
      </w:pPr>
      <w:bookmarkStart w:id="8" w:name="_Toc227332438"/>
      <w:r>
        <w:rPr>
          <w:sz w:val="28"/>
        </w:rPr>
        <w:lastRenderedPageBreak/>
        <w:t xml:space="preserve">III БҮЛЭГ. </w:t>
      </w:r>
      <w:r>
        <w:rPr>
          <w:sz w:val="28"/>
        </w:rPr>
        <w:t>ӨГӨГДӨЛ, ХУВЬСАГЧДЫН БҮТЭЦ</w:t>
      </w:r>
      <w:bookmarkEnd w:id="8"/>
    </w:p>
    <w:p w14:paraId="6FDDE464" w14:textId="77777777" w:rsidR="000B782D" w:rsidRDefault="0018275F">
      <w:pPr>
        <w:pStyle w:val="Heading2"/>
        <w:spacing w:after="120"/>
      </w:pPr>
      <w:r>
        <w:t>3.1. Үндсэн эх сурвалж: ӨНЭЗС</w:t>
      </w:r>
    </w:p>
    <w:p w14:paraId="2E8FC538" w14:textId="77777777" w:rsidR="000B782D" w:rsidRDefault="0018275F">
      <w:pPr>
        <w:ind w:firstLine="567"/>
        <w:jc w:val="both"/>
      </w:pPr>
      <w:r>
        <w:t>Энэхүү судалгааны үндсэн өгөгдлийн сурвалж нь Үндэсний Статистикийн Хороо (ҮСХ)-ноос тогтмол явуулдаг Өрхийн нийгэм, эдийн засгийн судалгаа (ӨНЭЗС) юм. ӨНЭЗС нь Монгол Улсын өрхийн орлого, зарлага, х</w:t>
      </w:r>
      <w:r>
        <w:t>өдөлмөр эрхлэлт, боловсрол, хүн амын бүтэц зэрэг нийгэм эдийн засгийн үзүүлэлтүүдийг хамарсан улсын хэмжээний төлөөллөө харгалзсан түүвэр судалгаа бөгөөд Дэлхийн банк, Олон улсын валютын сан, Нэгдсэн Үндэстний Байгууллагын статистикийн агентлагуудаар батал</w:t>
      </w:r>
      <w:r>
        <w:t>гаажуулсан арга зүйгээр явагддаг.</w:t>
      </w:r>
    </w:p>
    <w:p w14:paraId="5C8DB69B" w14:textId="77777777" w:rsidR="000B782D" w:rsidRDefault="0018275F">
      <w:pPr>
        <w:ind w:firstLine="567"/>
        <w:jc w:val="both"/>
      </w:pPr>
      <w:r>
        <w:t>Энэхүү судалгаанд 2016, 2018, 2020, 2021, 2024 оны таван давалгаа ашиглагдсан бөгөөд нийт 272,096 хувь хүний бүртгэлтэйгээр шинжилгээнд оруулав. 2016 ба 2018 оны давалгаануудад төрсөн аймгийн мэдээлэл байхгүй байсан тул тэ</w:t>
      </w:r>
      <w:r>
        <w:t>дгээрийг зөвхөн робастнес шинжилгээний дэд түүвэрт хамруулав. Харин 2020, 2021, 2024 оны гурван давалгаа нь төрсөн аймгийн хувьсагчтай тул IV шинжилгээний үндсэн түүвэр болов. Эцсийн шинжилгээнд 25–60 насны цалинтай ажилтан 49,366 хүнийг хамруулав.</w:t>
      </w:r>
    </w:p>
    <w:p w14:paraId="43A33A2A" w14:textId="77777777" w:rsidR="000B782D" w:rsidRDefault="0018275F">
      <w:pPr>
        <w:pStyle w:val="Heading2"/>
        <w:spacing w:after="120"/>
      </w:pPr>
      <w:r>
        <w:t>3.2. Нэ</w:t>
      </w:r>
      <w:r>
        <w:t>мэлт эх сурвалж: 1212.mn нээлттэй мэдээллийн сан</w:t>
      </w:r>
    </w:p>
    <w:p w14:paraId="67FB3FA3" w14:textId="77777777" w:rsidR="000B782D" w:rsidRDefault="0018275F">
      <w:pPr>
        <w:ind w:firstLine="567"/>
        <w:jc w:val="both"/>
      </w:pPr>
      <w:r>
        <w:t>Судалгааны гуравдах хэрэгсэл хувьсагчийг бүтээхдээ ҮСХ-ны 1212.mn нээлттэй мэдээллийн сангийн PX-Web JSON API-аар ерөнхий боловсролын сургуулийн статистикийн хүснэгтүүдийг татав. 21 аймаг, 330 сумын 2000–202</w:t>
      </w:r>
      <w:r>
        <w:t>4 оны 25 жилийн хугацаанд ЕБС-ийн багш, сурагчийн тоог цуглуулж, багш/сурагчийн харьцааг дараах хэлбэрээр тооцов:</w:t>
      </w:r>
    </w:p>
    <w:p w14:paraId="2CC53D0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5C26C0A" w14:textId="77777777" w:rsidR="000B782D" w:rsidRDefault="0018275F">
      <w:pPr>
        <w:ind w:firstLine="567"/>
        <w:jc w:val="both"/>
      </w:pPr>
      <w:r>
        <w:t xml:space="preserve">Нэмэлт хэрэгсэл хувьсагч болох Улаанбаатар хүртэлх зайг сумын төвөөс нийслэл хүртэлх шулуун </w:t>
      </w:r>
      <w:r>
        <w:t>зайгаар, ҮСХ-ны газарзүйн мэдээллийн сан ба Google Maps API-аас тооцож тогтоов. Зайн логарифмыг ашигласан нь гадна утгын нөлөөг багасгах зорилготой.</w:t>
      </w:r>
    </w:p>
    <w:p w14:paraId="2EB78E35" w14:textId="77777777" w:rsidR="000B782D" w:rsidRDefault="0018275F">
      <w:pPr>
        <w:pStyle w:val="Heading2"/>
        <w:spacing w:after="120"/>
      </w:pPr>
      <w:r>
        <w:t>3.3. Өгөгдлийн боловсруулалт, цэвэрлэгээ</w:t>
      </w:r>
    </w:p>
    <w:p w14:paraId="52D7412C" w14:textId="77777777" w:rsidR="000B782D" w:rsidRDefault="0018275F">
      <w:pPr>
        <w:ind w:firstLine="567"/>
        <w:jc w:val="both"/>
      </w:pPr>
      <w:r>
        <w:t xml:space="preserve">Таван давалгааг нэгтгэхэд хувьсагчуудын нэршил жигд бус байсан нь </w:t>
      </w:r>
      <w:r>
        <w:t xml:space="preserve">боловсруулалтын гол сорилт байв. Цалингийн хувьсагч ӨНЭЗС-ийн эхний хоёр давалгаанд (2016, 2018) нэг код, сүүлийн гурван давалгаанд (2020, 2021, 2024) өөр код </w:t>
      </w:r>
      <w:r>
        <w:lastRenderedPageBreak/>
        <w:t xml:space="preserve">дор оршиж байсан тул нэгдсэн wage_monthly хувьсагчид тохирох хөрвүүлэлт хийв. Боловсролын жилийн </w:t>
      </w:r>
      <w:r>
        <w:t>талаар сүүлийн гурван давалгаанд жилийн тоо шууд байсан бол 2016, 2018 оны давалгаанд зөвхөн боловсролын түвшний ангилал байсан учраас боловсролын 6 түвшнийг эквивалент жилд буулгах хөрвүүлэлтийг хийж нийт 93,420 ажиглалтыг нөхөв.</w:t>
      </w:r>
    </w:p>
    <w:p w14:paraId="26EC1E7C" w14:textId="77777777" w:rsidR="000B782D" w:rsidRDefault="0018275F">
      <w:pPr>
        <w:ind w:firstLine="567"/>
        <w:jc w:val="both"/>
      </w:pPr>
      <w:r>
        <w:t>Нөхсөн өгөгдлөөс үүдэх со</w:t>
      </w:r>
      <w:r>
        <w:t>нголтын хазайлтын эрсдэлийг арилгах зорилгоор Хекманы хоёр шатлалт аргаар шалгахад Милсийн урвуу харьцаа λ = -0.041 (p &gt; 0.5) буюу статистикийн хувьд ач холбогдолгүй гарсан. Энэ нь нөхөлт хийсэн ажиглалтууд нөхөлтгүй ажиглалтуудтай системтэй ялгаагүй бөгөө</w:t>
      </w:r>
      <w:r>
        <w:t>д шинжилгээний түүвэрт хазайлт үүсээгүй болохыг харуулж байна. Үндсэн түүвэрт 25–60 насны цалинтай ажилтныг оруулж, сарын цалингийн 84,000 төгрөгөөс доош болон 5,000,000 төгрөгөөс дээш утгуудыг гаднаас нь онцгой гараасан (outlier) тул түүврээс хасав.</w:t>
      </w:r>
    </w:p>
    <w:p w14:paraId="4B5A4B4B" w14:textId="77777777" w:rsidR="000B782D" w:rsidRDefault="0018275F">
      <w:pPr>
        <w:pStyle w:val="Heading2"/>
        <w:spacing w:after="120"/>
      </w:pPr>
      <w:r>
        <w:t xml:space="preserve">3.4. </w:t>
      </w:r>
      <w:r>
        <w:t>Описатив статистик</w:t>
      </w:r>
    </w:p>
    <w:p w14:paraId="62076AB0"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Монголын хөдөлмөр эрхэлж буй насанд хүрэгчдийн ихэнх нь бүрэн дунд боловсролтой байгааг харуулж байна. Цалинги</w:t>
      </w:r>
      <w:r>
        <w:t>йн хуваарилалт log-нормал тархалттай ойролцоо бөгөөд дундаж 861 мянган төгрөг, медиан 700 мянган төгрөг гэсэн утгатай байна.</w:t>
      </w:r>
    </w:p>
    <w:p w14:paraId="5194D819" w14:textId="77777777" w:rsidR="000B782D" w:rsidRDefault="0018275F">
      <w:pPr>
        <w:spacing w:before="240" w:after="60" w:line="276" w:lineRule="auto"/>
      </w:pPr>
      <w:bookmarkStart w:id="9" w:name="Tbl_1"/>
      <w:r>
        <w:rPr>
          <w:b/>
          <w:sz w:val="22"/>
        </w:rPr>
        <w:t xml:space="preserve">Хүснэгт 1  </w:t>
      </w:r>
      <w:r>
        <w:rPr>
          <w:i/>
          <w:sz w:val="22"/>
        </w:rPr>
        <w:t>Шинжилгээний түүврийн үндсэн үзүүлэлт</w:t>
      </w:r>
      <w:bookmarkEnd w:id="9"/>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09E3426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332214"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F41CB"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7BCB23"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02CAEA5"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34D1E0"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64415C"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C4F19" w14:textId="77777777" w:rsidR="000B782D" w:rsidRDefault="0018275F">
            <w:pPr>
              <w:spacing w:before="40" w:after="40" w:line="276" w:lineRule="auto"/>
              <w:jc w:val="center"/>
            </w:pPr>
            <w:r>
              <w:rPr>
                <w:b/>
                <w:sz w:val="20"/>
              </w:rPr>
              <w:t>Max</w:t>
            </w:r>
          </w:p>
        </w:tc>
      </w:tr>
      <w:tr w:rsidR="000B782D" w14:paraId="44FCD4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E775ED4"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47DDD0E"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B964D9C"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702C2652"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68C71105"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7E4E920"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63D03136" w14:textId="77777777" w:rsidR="000B782D" w:rsidRDefault="0018275F">
            <w:pPr>
              <w:spacing w:before="40" w:after="40" w:line="276" w:lineRule="auto"/>
              <w:jc w:val="right"/>
            </w:pPr>
            <w:r>
              <w:rPr>
                <w:sz w:val="20"/>
              </w:rPr>
              <w:t>15.43</w:t>
            </w:r>
          </w:p>
        </w:tc>
      </w:tr>
      <w:tr w:rsidR="000B782D" w14:paraId="6E0E2C9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2707A28"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00B139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63FB777F"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412435B4"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52D09D1"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4BDE5F15"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CF27F66" w14:textId="77777777" w:rsidR="000B782D" w:rsidRDefault="0018275F">
            <w:pPr>
              <w:spacing w:before="40" w:after="40" w:line="276" w:lineRule="auto"/>
              <w:jc w:val="right"/>
            </w:pPr>
            <w:r>
              <w:rPr>
                <w:sz w:val="20"/>
              </w:rPr>
              <w:t>5,000,000</w:t>
            </w:r>
          </w:p>
        </w:tc>
      </w:tr>
      <w:tr w:rsidR="000B782D" w14:paraId="0CF389C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0D09F94"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E86AFA1"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200C9C8A"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EDE26F0"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4B887FA2"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4E953767"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D7B442E" w14:textId="77777777" w:rsidR="000B782D" w:rsidRDefault="0018275F">
            <w:pPr>
              <w:spacing w:before="40" w:after="40" w:line="276" w:lineRule="auto"/>
              <w:jc w:val="right"/>
            </w:pPr>
            <w:r>
              <w:rPr>
                <w:sz w:val="20"/>
              </w:rPr>
              <w:t>22</w:t>
            </w:r>
          </w:p>
        </w:tc>
      </w:tr>
      <w:tr w:rsidR="000B782D" w14:paraId="0DE3FA7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5F974CD"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E02D0A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D0CBF49"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D133B24"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65D0DC4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18A03225"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4B06372" w14:textId="77777777" w:rsidR="000B782D" w:rsidRDefault="0018275F">
            <w:pPr>
              <w:spacing w:before="40" w:after="40" w:line="276" w:lineRule="auto"/>
              <w:jc w:val="right"/>
            </w:pPr>
            <w:r>
              <w:rPr>
                <w:sz w:val="20"/>
              </w:rPr>
              <w:t>60</w:t>
            </w:r>
          </w:p>
        </w:tc>
      </w:tr>
      <w:tr w:rsidR="000B782D" w14:paraId="6137AC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0D3A5D"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C850163"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59319B0"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74D7644"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BED5F5"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71230E3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8E62C20" w14:textId="77777777" w:rsidR="000B782D" w:rsidRDefault="0018275F">
            <w:pPr>
              <w:spacing w:before="40" w:after="40" w:line="276" w:lineRule="auto"/>
              <w:jc w:val="right"/>
            </w:pPr>
            <w:r>
              <w:rPr>
                <w:sz w:val="20"/>
              </w:rPr>
              <w:t>54</w:t>
            </w:r>
          </w:p>
        </w:tc>
      </w:tr>
      <w:tr w:rsidR="000B782D" w14:paraId="112A2F8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FD2518A"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328EEAC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FD1D7B8"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204D7840"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570AF0E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59C812C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B86103F" w14:textId="77777777" w:rsidR="000B782D" w:rsidRDefault="0018275F">
            <w:pPr>
              <w:spacing w:before="40" w:after="40" w:line="276" w:lineRule="auto"/>
              <w:jc w:val="right"/>
            </w:pPr>
            <w:r>
              <w:rPr>
                <w:sz w:val="20"/>
              </w:rPr>
              <w:t>1</w:t>
            </w:r>
          </w:p>
        </w:tc>
      </w:tr>
      <w:tr w:rsidR="000B782D" w14:paraId="3EF426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6F3F5E"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38DEB864"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354937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EAB275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710CA8F"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1A37B255"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5C12D4F" w14:textId="77777777" w:rsidR="000B782D" w:rsidRDefault="0018275F">
            <w:pPr>
              <w:spacing w:before="40" w:after="40" w:line="276" w:lineRule="auto"/>
              <w:jc w:val="right"/>
            </w:pPr>
            <w:r>
              <w:rPr>
                <w:sz w:val="20"/>
              </w:rPr>
              <w:t>1</w:t>
            </w:r>
          </w:p>
        </w:tc>
      </w:tr>
      <w:tr w:rsidR="000B782D" w14:paraId="100309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76313A9"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EF61AAD"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26A4858"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72664E94"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59E17249"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38EA315D"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0B748445" w14:textId="77777777" w:rsidR="000B782D" w:rsidRDefault="0018275F">
            <w:pPr>
              <w:spacing w:before="40" w:after="40" w:line="276" w:lineRule="auto"/>
              <w:jc w:val="right"/>
            </w:pPr>
            <w:r>
              <w:rPr>
                <w:sz w:val="20"/>
              </w:rPr>
              <w:t>16</w:t>
            </w:r>
          </w:p>
        </w:tc>
      </w:tr>
    </w:tbl>
    <w:p w14:paraId="5F8F9949" w14:textId="77777777" w:rsidR="000B782D" w:rsidRDefault="0018275F">
      <w:pPr>
        <w:spacing w:before="60" w:after="240" w:line="276" w:lineRule="auto"/>
        <w:jc w:val="right"/>
      </w:pPr>
      <w:r>
        <w:rPr>
          <w:i/>
          <w:sz w:val="20"/>
        </w:rPr>
        <w:t>Эх сурвалж: Оюутны тооцоолол</w:t>
      </w:r>
    </w:p>
    <w:p w14:paraId="22F86B0D" w14:textId="77777777" w:rsidR="000B782D" w:rsidRDefault="0018275F">
      <w:pPr>
        <w:ind w:firstLine="567"/>
        <w:jc w:val="both"/>
      </w:pPr>
      <w:r>
        <w:t xml:space="preserve">ӨНЭЗС-ийн давалгаа тус бүрээр тооцсон үндсэн үзүүлэлтүүдийг Хүснэгт 2-т танилцуулав. Хүснэгтээс харахад цалингийн нэрлэсэн хэмжээ 2016 оны 544 </w:t>
      </w:r>
      <w:r>
        <w:t xml:space="preserve">мянган төгрөгөөс 2024 оны 1,526 мянган төгрөг хүртэл 2.8 дахин өсчээ. Энэ нь Монгол Улсын </w:t>
      </w:r>
      <w:r>
        <w:lastRenderedPageBreak/>
        <w:t xml:space="preserve">хөдөлмөрийн зах зээлд нэрлэсэн цалингийн өсөлт огцом явагдсаныг илэрхийлдэг. Түүнчлэн эмэгтэй ажилтны эзлэх хувь 49.2–50.7%-ийн хооронд тогтворжсон бол хотын ажилтны </w:t>
      </w:r>
      <w:r>
        <w:t>эзлэх хувь 64.6–73.9%-ийн хооронд хэлбэлзэж байна.</w:t>
      </w:r>
    </w:p>
    <w:p w14:paraId="2F2F89EC" w14:textId="77777777" w:rsidR="000B782D" w:rsidRDefault="0018275F">
      <w:pPr>
        <w:spacing w:before="240" w:after="60" w:line="276" w:lineRule="auto"/>
      </w:pPr>
      <w:bookmarkStart w:id="10" w:name="Tbl_2"/>
      <w:r>
        <w:rPr>
          <w:b/>
          <w:sz w:val="22"/>
        </w:rPr>
        <w:t xml:space="preserve">Хүснэгт 2  </w:t>
      </w:r>
      <w:r>
        <w:rPr>
          <w:i/>
          <w:sz w:val="22"/>
        </w:rPr>
        <w:t>Түүврийн үндсэн үзүүлэлт ӨНЭЗС-ийн давалгаа тус бүрээр</w:t>
      </w:r>
      <w:bookmarkEnd w:id="10"/>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1115CA11"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CADF0D"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DBD806"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FB6A5E"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E2C92A7"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F031032"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3912DFF"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9E75B1" w14:textId="77777777" w:rsidR="000B782D" w:rsidRDefault="0018275F">
            <w:pPr>
              <w:spacing w:before="40" w:after="40" w:line="276" w:lineRule="auto"/>
              <w:jc w:val="center"/>
            </w:pPr>
            <w:r>
              <w:rPr>
                <w:b/>
                <w:sz w:val="20"/>
              </w:rPr>
              <w:t>Хотод (%)</w:t>
            </w:r>
          </w:p>
        </w:tc>
      </w:tr>
      <w:tr w:rsidR="000B782D" w14:paraId="5110161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BF59B96"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85E7FD0"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0C5A42DB"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7DC37B6F"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4F63542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0A0155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085F74CA" w14:textId="77777777" w:rsidR="000B782D" w:rsidRDefault="0018275F">
            <w:pPr>
              <w:spacing w:before="40" w:after="40" w:line="276" w:lineRule="auto"/>
              <w:jc w:val="right"/>
            </w:pPr>
            <w:r>
              <w:rPr>
                <w:sz w:val="20"/>
              </w:rPr>
              <w:t>67.1</w:t>
            </w:r>
          </w:p>
        </w:tc>
      </w:tr>
      <w:tr w:rsidR="000B782D" w14:paraId="6FAD2B74"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2D413B"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702C6772"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728979B8"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1F0F8B0C"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325600E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86EA5CB"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37DB35D6" w14:textId="77777777" w:rsidR="000B782D" w:rsidRDefault="0018275F">
            <w:pPr>
              <w:spacing w:before="40" w:after="40" w:line="276" w:lineRule="auto"/>
              <w:jc w:val="right"/>
            </w:pPr>
            <w:r>
              <w:rPr>
                <w:sz w:val="20"/>
              </w:rPr>
              <w:t>68.2</w:t>
            </w:r>
          </w:p>
        </w:tc>
      </w:tr>
      <w:tr w:rsidR="000B782D" w14:paraId="6001CF7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16903BD"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14C15A9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58BCAF57"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599F72B2"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0B8D"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DC807D8"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7DE1F1AF" w14:textId="77777777" w:rsidR="000B782D" w:rsidRDefault="0018275F">
            <w:pPr>
              <w:spacing w:before="40" w:after="40" w:line="276" w:lineRule="auto"/>
              <w:jc w:val="right"/>
            </w:pPr>
            <w:r>
              <w:rPr>
                <w:sz w:val="20"/>
              </w:rPr>
              <w:t>68.0</w:t>
            </w:r>
          </w:p>
        </w:tc>
      </w:tr>
      <w:tr w:rsidR="000B782D" w14:paraId="58377D0C"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4081030A"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305E654F"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306156E6"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14F8F2C"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043447C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4B17680"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71BFFF8" w14:textId="77777777" w:rsidR="000B782D" w:rsidRDefault="0018275F">
            <w:pPr>
              <w:spacing w:before="40" w:after="40" w:line="276" w:lineRule="auto"/>
              <w:jc w:val="right"/>
            </w:pPr>
            <w:r>
              <w:rPr>
                <w:sz w:val="20"/>
              </w:rPr>
              <w:t>73.9</w:t>
            </w:r>
          </w:p>
        </w:tc>
      </w:tr>
      <w:tr w:rsidR="000B782D" w14:paraId="25275F9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3C518CA"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1B54D8A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210814ED"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4E17798D"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759EEB90"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CBFEF3E"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1A4A0826" w14:textId="77777777" w:rsidR="000B782D" w:rsidRDefault="0018275F">
            <w:pPr>
              <w:spacing w:before="40" w:after="40" w:line="276" w:lineRule="auto"/>
              <w:jc w:val="right"/>
            </w:pPr>
            <w:r>
              <w:rPr>
                <w:sz w:val="20"/>
              </w:rPr>
              <w:t>64.6</w:t>
            </w:r>
          </w:p>
        </w:tc>
      </w:tr>
    </w:tbl>
    <w:p w14:paraId="7289F545" w14:textId="77777777" w:rsidR="000B782D" w:rsidRDefault="0018275F">
      <w:pPr>
        <w:spacing w:before="60" w:after="240" w:line="276" w:lineRule="auto"/>
        <w:jc w:val="right"/>
      </w:pPr>
      <w:r>
        <w:rPr>
          <w:i/>
          <w:sz w:val="20"/>
        </w:rPr>
        <w:t>Эх сурвалж: Оюутны тооцоолол</w:t>
      </w:r>
    </w:p>
    <w:p w14:paraId="31934FBA" w14:textId="77777777" w:rsidR="000B782D" w:rsidRDefault="0018275F">
      <w:pPr>
        <w:ind w:firstLine="567"/>
        <w:jc w:val="both"/>
      </w:pPr>
      <w:r>
        <w:t xml:space="preserve">Боловсролын жилийн тархалтыг ӨНЭЗС-ийн </w:t>
      </w:r>
      <w:r>
        <w:t>давалгаа тус бүрээр Зураг 1-т харуулав. Зургаас харахад тархалт нь бүх давалгаанд хоёр оргилтой (bimodal) онцлогтой байна: нэгэн оргил 10–12 жилийн боловсролтой (бүрэн дунд төгссөн) бүлэгт, нөгөөх нь 14–16 жилийн боловсролтой (коллеж, бакалавр) бүлэгт оршд</w:t>
      </w:r>
      <w:r>
        <w:t>ог. Энэхүү бүтэц нь Монголын боловсролын тогтолцооны түүхэн өөрчлөлттэй нягт холбоотой: 1995 он хүртэл 10 жилийн ерөнхий боловсролын систем, 1995–2008 онд 11 жилийн шинэчилсэн систем, 2008 оноос хойш 12 жилийн систем үйлчилж ирсэн. Иймд одоогийн 40-өөс дээ</w:t>
      </w:r>
      <w:r>
        <w:t>ш насны ажилтнуудын дунд 10–11 жилийн боловсрол зонхилдог бол 35-аас доош насны залуу ажилтнууд 12 жилийн бүрэн дунд боловсролтой байна.</w:t>
      </w:r>
    </w:p>
    <w:p w14:paraId="7B666F8E"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харагдаж байна.</w:t>
      </w:r>
      <w:r>
        <w:t xml:space="preserve"> Энэ хоосрол нь бүрэн дунд боловсролоос дээд боловсрол руу шилжих замд институцийн саад — тухайлбал их, дээд сургуулийн элсэлтийн шалгалт, сургалтын төлбөрийн саад, нийгэм эдийн засгийн хязгаарлалт — байгааг илэрхийлж байна. Үүнийг Мөнхнасан ба Нарандалай </w:t>
      </w:r>
      <w:r>
        <w:t>(2013)-ийн Монголын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болох урьдчилсан нотолгоо юм.</w:t>
      </w:r>
    </w:p>
    <w:p w14:paraId="23D28463" w14:textId="77777777" w:rsidR="000B782D" w:rsidRDefault="0018275F">
      <w:pPr>
        <w:spacing w:after="60"/>
        <w:jc w:val="center"/>
      </w:pPr>
      <w:r>
        <w:rPr>
          <w:noProof/>
        </w:rPr>
        <w:lastRenderedPageBreak/>
        <w:drawing>
          <wp:inline distT="0" distB="0" distL="0" distR="0" wp14:anchorId="10A0D195" wp14:editId="049501DF">
            <wp:extent cx="540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00000" cy="3240000"/>
                    </a:xfrm>
                    <a:prstGeom prst="rect">
                      <a:avLst/>
                    </a:prstGeom>
                  </pic:spPr>
                </pic:pic>
              </a:graphicData>
            </a:graphic>
          </wp:inline>
        </w:drawing>
      </w:r>
    </w:p>
    <w:p w14:paraId="5E2D8FB9" w14:textId="77777777" w:rsidR="000B782D" w:rsidRDefault="0018275F">
      <w:pPr>
        <w:spacing w:before="60" w:after="60" w:line="276" w:lineRule="auto"/>
        <w:jc w:val="center"/>
      </w:pPr>
      <w:bookmarkStart w:id="11" w:name="Fig_1"/>
      <w:r>
        <w:rPr>
          <w:b/>
          <w:sz w:val="22"/>
        </w:rPr>
        <w:t xml:space="preserve">Зураг 1  </w:t>
      </w:r>
      <w:r>
        <w:rPr>
          <w:i/>
          <w:sz w:val="22"/>
        </w:rPr>
        <w:t xml:space="preserve">Боловсролын жилийн тархалт </w:t>
      </w:r>
      <w:r>
        <w:rPr>
          <w:i/>
          <w:sz w:val="22"/>
        </w:rPr>
        <w:t>ӨНЭЗС-ийн давалгаа бүрээр</w:t>
      </w:r>
      <w:bookmarkEnd w:id="11"/>
    </w:p>
    <w:p w14:paraId="14EF8A2C" w14:textId="77777777" w:rsidR="000B782D" w:rsidRDefault="0018275F">
      <w:pPr>
        <w:spacing w:before="60" w:after="240" w:line="276" w:lineRule="auto"/>
        <w:jc w:val="right"/>
      </w:pPr>
      <w:r>
        <w:rPr>
          <w:i/>
          <w:sz w:val="20"/>
        </w:rPr>
        <w:t>Эх сурвалж: Оюутны тооцоолол</w:t>
      </w:r>
    </w:p>
    <w:p w14:paraId="449464EB" w14:textId="77777777" w:rsidR="000B782D" w:rsidRDefault="0018275F">
      <w:pPr>
        <w:ind w:firstLine="567"/>
        <w:jc w:val="both"/>
      </w:pPr>
      <w:r>
        <w:t>Боловсролын жил ба цалингийн логарифмын хоорондох харилцааг 2024 оны давалгаан дээр Зураг 2-т харуулав. Шугаман OLS шугам нь нийт түүвэрт ойролцоогоор 0.06-ын налуутай байхад бодит цэгийн тархалт нь 13</w:t>
      </w:r>
      <w:r>
        <w:t xml:space="preserve"> жилийн орчимд бүтцийн хугарал үүсгэж буй нь нүдэнд харагдаж байна. Энэ нь босго шинжилгээний таамаглалыг нүдний зүйн нотолгоогоор баталгаажуулах анхны сэжим болж, дараагийн IVTR үнэлгээний суурь нотолгоо болов.</w:t>
      </w:r>
    </w:p>
    <w:p w14:paraId="0BF06849" w14:textId="77777777" w:rsidR="000B782D" w:rsidRDefault="0018275F">
      <w:pPr>
        <w:spacing w:after="60"/>
        <w:jc w:val="center"/>
      </w:pPr>
      <w:r>
        <w:rPr>
          <w:noProof/>
        </w:rPr>
        <w:lastRenderedPageBreak/>
        <w:drawing>
          <wp:inline distT="0" distB="0" distL="0" distR="0" wp14:anchorId="63757917" wp14:editId="2CB34039">
            <wp:extent cx="5040000" cy="37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040000" cy="3780000"/>
                    </a:xfrm>
                    <a:prstGeom prst="rect">
                      <a:avLst/>
                    </a:prstGeom>
                  </pic:spPr>
                </pic:pic>
              </a:graphicData>
            </a:graphic>
          </wp:inline>
        </w:drawing>
      </w:r>
    </w:p>
    <w:p w14:paraId="20DD74FD" w14:textId="77777777" w:rsidR="000B782D" w:rsidRDefault="0018275F">
      <w:pPr>
        <w:spacing w:before="60" w:after="60" w:line="276" w:lineRule="auto"/>
        <w:jc w:val="center"/>
      </w:pPr>
      <w:bookmarkStart w:id="12" w:name="Fig_2"/>
      <w:r>
        <w:rPr>
          <w:b/>
          <w:sz w:val="22"/>
        </w:rPr>
        <w:t xml:space="preserve">Зураг 2  </w:t>
      </w:r>
      <w:r>
        <w:rPr>
          <w:i/>
          <w:sz w:val="22"/>
        </w:rPr>
        <w:t>Боловсролын жил ба логаритмчилсан</w:t>
      </w:r>
      <w:r>
        <w:rPr>
          <w:i/>
          <w:sz w:val="22"/>
        </w:rPr>
        <w:t xml:space="preserve"> цалингийн хамаарал</w:t>
      </w:r>
      <w:bookmarkEnd w:id="12"/>
    </w:p>
    <w:p w14:paraId="6ADDD7CA" w14:textId="77777777" w:rsidR="000B782D" w:rsidRDefault="0018275F">
      <w:pPr>
        <w:spacing w:before="60" w:after="240" w:line="276" w:lineRule="auto"/>
        <w:jc w:val="right"/>
      </w:pPr>
      <w:r>
        <w:rPr>
          <w:i/>
          <w:sz w:val="20"/>
        </w:rPr>
        <w:t>Эх сурвалж: Оюутны тооцоолол</w:t>
      </w:r>
    </w:p>
    <w:p w14:paraId="5BAC3DF8" w14:textId="77777777" w:rsidR="000B782D" w:rsidRDefault="0018275F">
      <w:r>
        <w:br w:type="page"/>
      </w:r>
    </w:p>
    <w:p w14:paraId="79D227FC" w14:textId="77777777" w:rsidR="000B782D" w:rsidRDefault="0018275F">
      <w:pPr>
        <w:pStyle w:val="Heading1"/>
        <w:spacing w:after="240"/>
      </w:pPr>
      <w:bookmarkStart w:id="13" w:name="_Toc227332439"/>
      <w:r>
        <w:rPr>
          <w:sz w:val="28"/>
        </w:rPr>
        <w:lastRenderedPageBreak/>
        <w:t>IV БҮЛЭГ. ШИНЖИЛГЭЭНИЙ ҮР ДҮН</w:t>
      </w:r>
      <w:bookmarkEnd w:id="13"/>
    </w:p>
    <w:p w14:paraId="0E54E709" w14:textId="77777777" w:rsidR="000B782D" w:rsidRDefault="0018275F">
      <w:pPr>
        <w:pStyle w:val="Heading2"/>
        <w:spacing w:after="120"/>
      </w:pPr>
      <w:r>
        <w:t>4.1. OLS ба фиксэлсэн нөлөөний үнэлгээ</w:t>
      </w:r>
    </w:p>
    <w:p w14:paraId="6A2FFABD" w14:textId="77777777" w:rsidR="000B782D" w:rsidRDefault="0018275F">
      <w:pPr>
        <w:ind w:firstLine="567"/>
        <w:jc w:val="both"/>
      </w:pPr>
      <w:r>
        <w:t>Суурь OLS үнэлгээний үр дүнг Хүснэгт 3-т танилцуулав. Энгийн OLS загварт боловсролын нэг жилийн өгөөж нь β = 0.0736 буюу 7.6% гэж тогтоо</w:t>
      </w:r>
      <w:r>
        <w:t>гдсон. Энэ нь хувь хүний боловсролын нэмэлт нэг жил цалинг 7.6%-иар өсгөдөг гэсэн үг юм. Хяналтын хувьсагчуудыг нэмэхэд β = 0.0791 (8.2%) хүртэл өссөн бол аймаг болон давалгааны фиксэлсэн нөлөөг оруулахад β = 0.0661 (6.8%) хүртэл буурсан. Иймд аймгийн газа</w:t>
      </w:r>
      <w:r>
        <w:t>рзүйн болон үеийн тогтмол нөлөө нь боловсрол-цалингийн хамаарлыг хиймэлээр дээш чиглэсэн хазайлтад орох хандлагатай байгаа нь харагдаж байна. Тодорхойлогдох коэффициент R² нь 0.111-ээс 0.526 хүртэл огцом өсөж, аймгийн тогтмол нөлөө нь цалингийн хэлбэлзлийн</w:t>
      </w:r>
      <w:r>
        <w:t xml:space="preserve"> дийлэнх хэсгийг тайлбарлаж чадсан нь харагдаж байна.</w:t>
      </w:r>
    </w:p>
    <w:p w14:paraId="4DB326E3" w14:textId="77777777" w:rsidR="000B782D" w:rsidRDefault="0018275F">
      <w:pPr>
        <w:spacing w:before="240" w:after="60" w:line="276" w:lineRule="auto"/>
      </w:pPr>
      <w:bookmarkStart w:id="14" w:name="Tbl_3"/>
      <w:r>
        <w:rPr>
          <w:b/>
          <w:sz w:val="22"/>
        </w:rPr>
        <w:t xml:space="preserve">Хүснэгт 3  </w:t>
      </w:r>
      <w:r>
        <w:rPr>
          <w:i/>
          <w:sz w:val="22"/>
        </w:rPr>
        <w:t>Энгийн OLS ба фиксэлсэн нөлөөтэй үнэлгээний үр дүн</w:t>
      </w:r>
      <w:bookmarkEnd w:id="14"/>
    </w:p>
    <w:tbl>
      <w:tblPr>
        <w:tblW w:w="0" w:type="auto"/>
        <w:jc w:val="center"/>
        <w:tblLayout w:type="fixed"/>
        <w:tblLook w:val="04A0" w:firstRow="1" w:lastRow="0" w:firstColumn="1" w:lastColumn="0" w:noHBand="0" w:noVBand="1"/>
      </w:tblPr>
      <w:tblGrid>
        <w:gridCol w:w="2835"/>
        <w:gridCol w:w="1871"/>
        <w:gridCol w:w="1871"/>
        <w:gridCol w:w="1871"/>
      </w:tblGrid>
      <w:tr w:rsidR="000B782D" w14:paraId="2946701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CE7A076"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03D272"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6AD1164"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810917" w14:textId="77777777" w:rsidR="000B782D" w:rsidRDefault="0018275F">
            <w:pPr>
              <w:spacing w:before="40" w:after="40" w:line="276" w:lineRule="auto"/>
              <w:jc w:val="center"/>
            </w:pPr>
            <w:r>
              <w:rPr>
                <w:b/>
                <w:sz w:val="20"/>
              </w:rPr>
              <w:t>(3) OLS + FE</w:t>
            </w:r>
          </w:p>
        </w:tc>
      </w:tr>
      <w:tr w:rsidR="000B782D" w14:paraId="47BD93A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E467600"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4029A375"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1870A7F5"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34E81D6C" w14:textId="77777777" w:rsidR="000B782D" w:rsidRDefault="0018275F">
            <w:pPr>
              <w:spacing w:before="40" w:after="40" w:line="276" w:lineRule="auto"/>
              <w:jc w:val="center"/>
            </w:pPr>
            <w:r>
              <w:rPr>
                <w:sz w:val="20"/>
              </w:rPr>
              <w:t>0.0661***</w:t>
            </w:r>
          </w:p>
        </w:tc>
      </w:tr>
      <w:tr w:rsidR="000B782D" w14:paraId="0B6FA1A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D611DC"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0577F480"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5EB823A"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16EFDFF6" w14:textId="77777777" w:rsidR="000B782D" w:rsidRDefault="0018275F">
            <w:pPr>
              <w:spacing w:before="40" w:after="40" w:line="276" w:lineRule="auto"/>
              <w:jc w:val="center"/>
            </w:pPr>
            <w:r>
              <w:rPr>
                <w:sz w:val="20"/>
              </w:rPr>
              <w:t>(0.0019)</w:t>
            </w:r>
          </w:p>
        </w:tc>
      </w:tr>
      <w:tr w:rsidR="000B782D" w14:paraId="428A8AC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4987F58"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795A3559"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14BD8422"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582B5F0" w14:textId="77777777" w:rsidR="000B782D" w:rsidRDefault="0018275F">
            <w:pPr>
              <w:spacing w:before="40" w:after="40" w:line="276" w:lineRule="auto"/>
              <w:jc w:val="center"/>
            </w:pPr>
            <w:r>
              <w:rPr>
                <w:sz w:val="20"/>
              </w:rPr>
              <w:t>0.0308***</w:t>
            </w:r>
          </w:p>
        </w:tc>
      </w:tr>
      <w:tr w:rsidR="000B782D" w14:paraId="53E4EF8F"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7FA14C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2FFB3FFA"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4D22A11"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1DA4BC9F" w14:textId="77777777" w:rsidR="000B782D" w:rsidRDefault="0018275F">
            <w:pPr>
              <w:spacing w:before="40" w:after="40" w:line="276" w:lineRule="auto"/>
              <w:jc w:val="center"/>
            </w:pPr>
            <w:r>
              <w:rPr>
                <w:sz w:val="20"/>
              </w:rPr>
              <w:t>−0.00071***</w:t>
            </w:r>
          </w:p>
        </w:tc>
      </w:tr>
      <w:tr w:rsidR="000B782D" w14:paraId="0AC91B1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0C72BF3"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43EDCB70"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14A2707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6C04FFB" w14:textId="77777777" w:rsidR="000B782D" w:rsidRDefault="0018275F">
            <w:pPr>
              <w:spacing w:before="40" w:after="40" w:line="276" w:lineRule="auto"/>
              <w:jc w:val="center"/>
            </w:pPr>
            <w:r>
              <w:rPr>
                <w:sz w:val="20"/>
              </w:rPr>
              <w:t>Тийм</w:t>
            </w:r>
          </w:p>
        </w:tc>
      </w:tr>
      <w:tr w:rsidR="000B782D" w14:paraId="630A422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21F396"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118AA95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F8F655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B309D2B" w14:textId="77777777" w:rsidR="000B782D" w:rsidRDefault="0018275F">
            <w:pPr>
              <w:spacing w:before="40" w:after="40" w:line="276" w:lineRule="auto"/>
              <w:jc w:val="center"/>
            </w:pPr>
            <w:r>
              <w:rPr>
                <w:sz w:val="20"/>
              </w:rPr>
              <w:t>Тийм</w:t>
            </w:r>
          </w:p>
        </w:tc>
      </w:tr>
      <w:tr w:rsidR="000B782D" w14:paraId="00AF091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B99A419"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0390E33"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7E2A06E"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2C317700" w14:textId="77777777" w:rsidR="000B782D" w:rsidRDefault="0018275F">
            <w:pPr>
              <w:spacing w:before="40" w:after="40" w:line="276" w:lineRule="auto"/>
              <w:jc w:val="center"/>
            </w:pPr>
            <w:r>
              <w:rPr>
                <w:sz w:val="20"/>
              </w:rPr>
              <w:t>Тийм</w:t>
            </w:r>
          </w:p>
        </w:tc>
      </w:tr>
      <w:tr w:rsidR="000B782D" w14:paraId="5540650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5FC0215"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3FE8B3DA"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D48776D"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01A8A82" w14:textId="77777777" w:rsidR="000B782D" w:rsidRDefault="0018275F">
            <w:pPr>
              <w:spacing w:before="40" w:after="40" w:line="276" w:lineRule="auto"/>
              <w:jc w:val="center"/>
            </w:pPr>
            <w:r>
              <w:rPr>
                <w:sz w:val="20"/>
              </w:rPr>
              <w:t>49,357</w:t>
            </w:r>
          </w:p>
        </w:tc>
      </w:tr>
      <w:tr w:rsidR="000B782D" w14:paraId="37C3AF4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26FD804"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7BEE693"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31A05611"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6F129AA5" w14:textId="77777777" w:rsidR="000B782D" w:rsidRDefault="0018275F">
            <w:pPr>
              <w:spacing w:before="40" w:after="40" w:line="276" w:lineRule="auto"/>
              <w:jc w:val="center"/>
            </w:pPr>
            <w:r>
              <w:rPr>
                <w:sz w:val="20"/>
              </w:rPr>
              <w:t>0.526</w:t>
            </w:r>
          </w:p>
        </w:tc>
      </w:tr>
    </w:tbl>
    <w:p w14:paraId="692893C1"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Статистик ач холбогдол: *p&lt;0.10, **p&lt;0.05, ***p&lt;0.01.</w:t>
      </w:r>
    </w:p>
    <w:p w14:paraId="54B94634" w14:textId="77777777" w:rsidR="000B782D" w:rsidRDefault="0018275F">
      <w:pPr>
        <w:spacing w:before="60" w:after="240" w:line="276" w:lineRule="auto"/>
        <w:jc w:val="right"/>
      </w:pPr>
      <w:r>
        <w:rPr>
          <w:i/>
          <w:sz w:val="20"/>
        </w:rPr>
        <w:t>Эх сурвалж: Оюутны тооцоолол</w:t>
      </w:r>
    </w:p>
    <w:p w14:paraId="62C712BA" w14:textId="77777777" w:rsidR="000B782D" w:rsidRDefault="0018275F">
      <w:pPr>
        <w:ind w:firstLine="567"/>
        <w:jc w:val="both"/>
      </w:pPr>
      <w:r>
        <w:t xml:space="preserve">Псевдо-панелийн фиксэлсэн нөлөөний үнэлгээгээр β_FE = 0.1627 (стандарт алдаа 0.0124), </w:t>
      </w:r>
      <w:r>
        <w:t>санамсаргүй нөлөөний үнэлгээгээр β_RE = 0.2028 (0.0278) гарав. Хаусманы шалгуурын χ² = 15,282, p &lt; 0.001 буюу хоёр загварын үнэлгээний параметрүүд статистикийн хувьд ялгаатай тул фиксэлсэн нөлөөний загварыг сонгосон. Псевдо-панелийн түвшинд өгөөжийн үнэлгэ</w:t>
      </w:r>
      <w:r>
        <w:t>э хувь хүний түвшний үнэлгээнээс мэдэгдэхүйц өндөр гарсан нь нэгдмэлжсэн когортын түвшинд хүмүүн капиталын хуримтлалын нийт нөлөө илүү тод илэрдэгтэй холбоотой (Deaton, 1985).</w:t>
      </w:r>
    </w:p>
    <w:p w14:paraId="0A26619C" w14:textId="77777777" w:rsidR="000B782D" w:rsidRDefault="0018275F">
      <w:pPr>
        <w:pStyle w:val="Heading2"/>
        <w:spacing w:after="120"/>
      </w:pPr>
      <w:r>
        <w:t>4.2. Хоёр шатлалт (2SLS) үнэлгээ</w:t>
      </w:r>
    </w:p>
    <w:p w14:paraId="7D7B50B2" w14:textId="77777777" w:rsidR="000B782D" w:rsidRDefault="0018275F">
      <w:pPr>
        <w:ind w:firstLine="567"/>
        <w:jc w:val="both"/>
      </w:pPr>
      <w:r>
        <w:lastRenderedPageBreak/>
        <w:t>OLS үнэлгээний эндогений хазайлтыг арилгах зори</w:t>
      </w:r>
      <w:r>
        <w:t>лгоор гурван өөр хэрэгсэл хувьсагчтайгаар 2SLS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олгож байна.</w:t>
      </w:r>
    </w:p>
    <w:p w14:paraId="7ED3B140" w14:textId="77777777" w:rsidR="000B782D" w:rsidRDefault="0018275F">
      <w:pPr>
        <w:spacing w:before="240" w:after="60" w:line="276" w:lineRule="auto"/>
      </w:pPr>
      <w:bookmarkStart w:id="15" w:name="Tbl_4"/>
      <w:r>
        <w:rPr>
          <w:b/>
          <w:sz w:val="22"/>
        </w:rPr>
        <w:t xml:space="preserve">Хүснэгт 4  </w:t>
      </w:r>
      <w:r>
        <w:rPr>
          <w:i/>
          <w:sz w:val="22"/>
        </w:rPr>
        <w:t>Хэрэгсэл хувьсагчий</w:t>
      </w:r>
      <w:r>
        <w:rPr>
          <w:i/>
          <w:sz w:val="22"/>
        </w:rPr>
        <w:t>н (IV) үнэлгээний үр дүн</w:t>
      </w:r>
      <w:bookmarkEnd w:id="15"/>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B7FBD71"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A43D65E"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783A034"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A5AC61"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D2D5A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05AA43C"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5B595B" w14:textId="77777777" w:rsidR="000B782D" w:rsidRDefault="0018275F">
            <w:pPr>
              <w:spacing w:before="40" w:after="40" w:line="276" w:lineRule="auto"/>
              <w:jc w:val="center"/>
            </w:pPr>
            <w:r>
              <w:rPr>
                <w:b/>
                <w:sz w:val="20"/>
              </w:rPr>
              <w:t>(5) Overident.</w:t>
            </w:r>
          </w:p>
        </w:tc>
      </w:tr>
      <w:tr w:rsidR="000B782D" w14:paraId="22E6F9EA"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E937989"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1AAA3C63"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0FDB5D9C"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6DA2F3A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1F6925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FD75510" w14:textId="77777777" w:rsidR="000B782D" w:rsidRDefault="0018275F">
            <w:pPr>
              <w:spacing w:before="40" w:after="40" w:line="276" w:lineRule="auto"/>
              <w:jc w:val="center"/>
            </w:pPr>
            <w:r>
              <w:rPr>
                <w:sz w:val="20"/>
              </w:rPr>
              <w:t>0.1043***</w:t>
            </w:r>
          </w:p>
        </w:tc>
      </w:tr>
      <w:tr w:rsidR="000B782D" w14:paraId="05D12AD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20E5B34"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4BCDA186"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2ABA5E09"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4AB63644"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4B4CB4FB"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58C7D8B3" w14:textId="77777777" w:rsidR="000B782D" w:rsidRDefault="0018275F">
            <w:pPr>
              <w:spacing w:before="40" w:after="40" w:line="276" w:lineRule="auto"/>
              <w:jc w:val="center"/>
            </w:pPr>
            <w:r>
              <w:rPr>
                <w:sz w:val="20"/>
              </w:rPr>
              <w:t>(0.0054)</w:t>
            </w:r>
          </w:p>
        </w:tc>
      </w:tr>
      <w:tr w:rsidR="000B782D" w14:paraId="50647F35"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4661FF9"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1CE57C6F"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AE37429"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72EC0775"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63E7070B"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60E6F" w14:textId="77777777" w:rsidR="000B782D" w:rsidRDefault="0018275F">
            <w:pPr>
              <w:spacing w:before="40" w:after="40" w:line="276" w:lineRule="auto"/>
              <w:jc w:val="center"/>
            </w:pPr>
            <w:r>
              <w:rPr>
                <w:sz w:val="20"/>
              </w:rPr>
              <w:t>—</w:t>
            </w:r>
          </w:p>
        </w:tc>
      </w:tr>
      <w:tr w:rsidR="000B782D" w14:paraId="1BD01B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A70E7A6"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1873AB84"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887A31F"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7689B0A1"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1B49FE8F"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00B78759" w14:textId="77777777" w:rsidR="000B782D" w:rsidRDefault="0018275F">
            <w:pPr>
              <w:spacing w:before="40" w:after="40" w:line="276" w:lineRule="auto"/>
              <w:jc w:val="center"/>
            </w:pPr>
            <w:r>
              <w:rPr>
                <w:sz w:val="20"/>
              </w:rPr>
              <w:t>0.035</w:t>
            </w:r>
          </w:p>
        </w:tc>
      </w:tr>
      <w:tr w:rsidR="000B782D" w14:paraId="0165C44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9AF6FE2"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7A63EA9B"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62C3906"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49949563"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433DA9E"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3456CF91" w14:textId="77777777" w:rsidR="000B782D" w:rsidRDefault="0018275F">
            <w:pPr>
              <w:spacing w:before="40" w:after="40" w:line="276" w:lineRule="auto"/>
              <w:jc w:val="center"/>
            </w:pPr>
            <w:r>
              <w:rPr>
                <w:sz w:val="20"/>
              </w:rPr>
              <w:t>7,746</w:t>
            </w:r>
          </w:p>
        </w:tc>
      </w:tr>
    </w:tbl>
    <w:p w14:paraId="38284A30"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Үндсэн түүвэр — ӨНЭЗС 2020+2021+2024. ***p&lt;0.01, **p&lt;0.05, *p&lt;0.10.</w:t>
      </w:r>
    </w:p>
    <w:p w14:paraId="7CB2DE37"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503D3EC" w14:textId="77777777" w:rsidR="000B782D" w:rsidRDefault="0018275F">
      <w:pPr>
        <w:ind w:firstLine="567"/>
        <w:jc w:val="both"/>
      </w:pPr>
      <w:r>
        <w:t>Хүснэгт 4-өөс харвал хэрэгсэл хувьсагчийн 2SLS үнэлгээ нь OLS үнэлгээнээс мэдэгдэхүйц өндөр гарсан нь гол олдвор юм. Боловсролын нэг жилийн өгөөж OLS-оор 5.7% байсан бол төрсөн аймгийн IV-тэй 2SLS-аар 11.3% хүртэл өсчээ. Энэ нь OLS үнэлгээний β н</w:t>
      </w:r>
      <w:r>
        <w:t>ь бодит өгөөжийн ойролцоогоор хагасыг л илэрхийлж байсан буюу 49%-ийн хазайлт үүссэн гэсэн үг юм. Өөрөөр хэлбэл, OLS-ын доош чиглэсэн хэмжилтийн хазайлт (attenuation bias) нь ур чадварын хомсдлоос үүдэлтэй дээш чиглэсэн хазайлтаас давамгайлж байгааг харуул</w:t>
      </w:r>
      <w:r>
        <w:t>ж байна. Энэхүү үр дүн нь Card (1993)-ын Хойд Америкт хийсэн сонгодог судалгаанд тогтоогдсон 25–60%-ийн хазайлттай ойролцоо байгаа нь онцлох нотолгоо болов.</w:t>
      </w:r>
    </w:p>
    <w:p w14:paraId="2EE5ECF6" w14:textId="77777777" w:rsidR="000B782D" w:rsidRDefault="0018275F">
      <w:pPr>
        <w:ind w:firstLine="567"/>
        <w:jc w:val="both"/>
      </w:pPr>
      <w:r>
        <w:t>Хэрэгсэл хувьсагч тус бүрийн эхний шатны F статистикийг харахад Staiger–Stock-ын шалгуурыг (F &gt; 10)</w:t>
      </w:r>
      <w:r>
        <w:t xml:space="preserve"> бүгд давсан байна. ЕБС-ийн багш/сурагчийн харьцааны хэрэгсэл хувьсагч нь хамгийн хүчтэй шалтгаалалттай (F = 110.02) бол төрсөн аймгийн хэрэгсэл хувьсагч шалгуурын босго дээр (F = 10.46) байгаа нь Андерсон–Рубины сул хэрэгсэлд тэсвэртэй итгэлийн интервалыг</w:t>
      </w:r>
      <w:r>
        <w:t xml:space="preserve"> нэмэлтээр тайлагнах үндэслэл болов. Ву–Хаусманы эндогений тестийн F = 22.1 (p &lt; 0.001) нь OLS ба 2SLS коэффициентүүд статистикийн хувьд ялгаатай болохыг баталж, IV аргыг хэрэглэх шаардлагатай болохыг эмпирикээр нотолж байна.</w:t>
      </w:r>
    </w:p>
    <w:p w14:paraId="45C06652" w14:textId="77777777" w:rsidR="000B782D" w:rsidRDefault="0018275F">
      <w:pPr>
        <w:pStyle w:val="Heading2"/>
        <w:spacing w:after="120"/>
      </w:pPr>
      <w:r>
        <w:t>4.3. Хэрэгсэл хувьсагчтай босг</w:t>
      </w:r>
      <w:r>
        <w:t>отой регресс — үндсэн үр дүн</w:t>
      </w:r>
    </w:p>
    <w:p w14:paraId="0122202D" w14:textId="77777777" w:rsidR="000B782D" w:rsidRDefault="0018275F">
      <w:pPr>
        <w:ind w:firstLine="567"/>
        <w:jc w:val="both"/>
      </w:pPr>
      <w:r>
        <w:lastRenderedPageBreak/>
        <w:t>Энэхүү судалгааны хамгийн чухал үр дүн нь Caner ба Hansen (2004)-ийн IVTR аргыг Монгол Улсын өрхийн микро өгөгдөлд анх удаа хэрэглэсэн үр дүн юм. Сүлжээн хайлтын (grid search) явцад боловсролын 10–15 жилийн γ хувьсагчийн утгууд</w:t>
      </w:r>
      <w:r>
        <w:t xml:space="preserve"> дээр концентрацилагдсан алдааны квадратын нийлбэрийг тооцож, хамгийн бага утгыг γ* = 13 жил дээр олсон болно. Уг цэг Монгол Улсын боловсролын тогтолцоонд тодорхой утгатай: 12-р анги төгсгөсний дараа мэргэжлийн сургалт, МСҮТ, коллежийн эхний жил, их сургуу</w:t>
      </w:r>
      <w:r>
        <w:t>лийн бэлтгэл курс зэрэг сурах нэмэлт жил юм.</w:t>
      </w:r>
    </w:p>
    <w:p w14:paraId="1538FD4C" w14:textId="77777777" w:rsidR="000B782D" w:rsidRDefault="0018275F">
      <w:pPr>
        <w:spacing w:after="60"/>
        <w:jc w:val="center"/>
      </w:pPr>
      <w:r>
        <w:rPr>
          <w:noProof/>
        </w:rPr>
        <w:drawing>
          <wp:inline distT="0" distB="0" distL="0" distR="0" wp14:anchorId="73B38E84" wp14:editId="4A6F468D">
            <wp:extent cx="4680000" cy="35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4680000" cy="3510000"/>
                    </a:xfrm>
                    <a:prstGeom prst="rect">
                      <a:avLst/>
                    </a:prstGeom>
                  </pic:spPr>
                </pic:pic>
              </a:graphicData>
            </a:graphic>
          </wp:inline>
        </w:drawing>
      </w:r>
    </w:p>
    <w:p w14:paraId="465A00C3" w14:textId="77777777" w:rsidR="000B782D" w:rsidRDefault="0018275F">
      <w:pPr>
        <w:spacing w:before="60" w:after="60" w:line="276" w:lineRule="auto"/>
        <w:jc w:val="center"/>
      </w:pPr>
      <w:bookmarkStart w:id="16" w:name="Fig_3"/>
      <w:r>
        <w:rPr>
          <w:b/>
          <w:sz w:val="22"/>
        </w:rPr>
        <w:t xml:space="preserve">Зураг 3  </w:t>
      </w:r>
      <w:r>
        <w:rPr>
          <w:i/>
          <w:sz w:val="22"/>
        </w:rPr>
        <w:t>Босгоны сүлжээн хайлтын төвлөрсөн алдааны квадратын нийлбэр</w:t>
      </w:r>
      <w:bookmarkEnd w:id="16"/>
    </w:p>
    <w:p w14:paraId="05DC0801" w14:textId="77777777" w:rsidR="000B782D" w:rsidRDefault="0018275F">
      <w:pPr>
        <w:spacing w:before="60" w:after="240" w:line="276" w:lineRule="auto"/>
        <w:jc w:val="right"/>
      </w:pPr>
      <w:r>
        <w:rPr>
          <w:i/>
          <w:sz w:val="20"/>
        </w:rPr>
        <w:t>Эх сурвалж: Оюутны тооцоолол</w:t>
      </w:r>
    </w:p>
    <w:p w14:paraId="652BD159" w14:textId="77777777" w:rsidR="000B782D" w:rsidRDefault="0018275F">
      <w:pPr>
        <w:spacing w:before="240" w:after="60" w:line="276" w:lineRule="auto"/>
      </w:pPr>
      <w:bookmarkStart w:id="17" w:name="Tbl_5"/>
      <w:r>
        <w:rPr>
          <w:b/>
          <w:sz w:val="22"/>
        </w:rPr>
        <w:t xml:space="preserve">Хүснэгт 5  </w:t>
      </w:r>
      <w:r>
        <w:rPr>
          <w:i/>
          <w:sz w:val="22"/>
        </w:rPr>
        <w:t>Хэрэгсэл хувьсагчтай босготой регресс (IVTR) — үндсэн үр дүн</w:t>
      </w:r>
      <w:bookmarkEnd w:id="17"/>
    </w:p>
    <w:tbl>
      <w:tblPr>
        <w:tblW w:w="0" w:type="auto"/>
        <w:jc w:val="center"/>
        <w:tblLayout w:type="fixed"/>
        <w:tblLook w:val="04A0" w:firstRow="1" w:lastRow="0" w:firstColumn="1" w:lastColumn="0" w:noHBand="0" w:noVBand="1"/>
      </w:tblPr>
      <w:tblGrid>
        <w:gridCol w:w="5669"/>
        <w:gridCol w:w="3402"/>
      </w:tblGrid>
      <w:tr w:rsidR="000B782D" w14:paraId="0261D6C7"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0B2C01"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A4190E" w14:textId="77777777" w:rsidR="000B782D" w:rsidRDefault="0018275F">
            <w:pPr>
              <w:spacing w:before="40" w:after="40" w:line="276" w:lineRule="auto"/>
              <w:jc w:val="center"/>
            </w:pPr>
            <w:r>
              <w:rPr>
                <w:b/>
                <w:sz w:val="20"/>
              </w:rPr>
              <w:t>Утга</w:t>
            </w:r>
          </w:p>
        </w:tc>
      </w:tr>
      <w:tr w:rsidR="000B782D" w14:paraId="29121D3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E79359B"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0B0A66B0" w14:textId="77777777" w:rsidR="000B782D" w:rsidRDefault="0018275F">
            <w:pPr>
              <w:spacing w:before="40" w:after="40" w:line="276" w:lineRule="auto"/>
            </w:pPr>
            <w:r>
              <w:rPr>
                <w:sz w:val="20"/>
              </w:rPr>
              <w:t xml:space="preserve">13 </w:t>
            </w:r>
            <w:r>
              <w:rPr>
                <w:sz w:val="20"/>
              </w:rPr>
              <w:t>жил</w:t>
            </w:r>
          </w:p>
        </w:tc>
      </w:tr>
      <w:tr w:rsidR="000B782D" w14:paraId="174F275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6F7B86C"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6AE139" w14:textId="77777777" w:rsidR="000B782D" w:rsidRDefault="0018275F">
            <w:pPr>
              <w:spacing w:before="40" w:after="40" w:line="276" w:lineRule="auto"/>
            </w:pPr>
            <w:r>
              <w:rPr>
                <w:sz w:val="20"/>
              </w:rPr>
              <w:t>0.0533</w:t>
            </w:r>
          </w:p>
        </w:tc>
      </w:tr>
      <w:tr w:rsidR="000B782D" w14:paraId="514662F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2A41F93"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7D5C1960" w14:textId="77777777" w:rsidR="000B782D" w:rsidRDefault="0018275F">
            <w:pPr>
              <w:spacing w:before="40" w:after="40" w:line="276" w:lineRule="auto"/>
            </w:pPr>
            <w:r>
              <w:rPr>
                <w:sz w:val="20"/>
              </w:rPr>
              <w:t>(0.0272)</w:t>
            </w:r>
          </w:p>
        </w:tc>
      </w:tr>
      <w:tr w:rsidR="000B782D" w14:paraId="2F0F44B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44ECD7C"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E2DD348" w14:textId="77777777" w:rsidR="000B782D" w:rsidRDefault="0018275F">
            <w:pPr>
              <w:spacing w:before="40" w:after="40" w:line="276" w:lineRule="auto"/>
            </w:pPr>
            <w:r>
              <w:rPr>
                <w:sz w:val="20"/>
              </w:rPr>
              <w:t>5.5%</w:t>
            </w:r>
          </w:p>
        </w:tc>
      </w:tr>
      <w:tr w:rsidR="000B782D" w14:paraId="6333999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7CB752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35AF346" w14:textId="77777777" w:rsidR="000B782D" w:rsidRDefault="0018275F">
            <w:pPr>
              <w:spacing w:before="40" w:after="40" w:line="276" w:lineRule="auto"/>
            </w:pPr>
            <w:r>
              <w:rPr>
                <w:sz w:val="20"/>
              </w:rPr>
              <w:t>0.1650</w:t>
            </w:r>
          </w:p>
        </w:tc>
      </w:tr>
      <w:tr w:rsidR="000B782D" w14:paraId="7C38CE5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D9956C2"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0EA21CD5" w14:textId="77777777" w:rsidR="000B782D" w:rsidRDefault="0018275F">
            <w:pPr>
              <w:spacing w:before="40" w:after="40" w:line="276" w:lineRule="auto"/>
            </w:pPr>
            <w:r>
              <w:rPr>
                <w:sz w:val="20"/>
              </w:rPr>
              <w:t>(0.0307)</w:t>
            </w:r>
          </w:p>
        </w:tc>
      </w:tr>
      <w:tr w:rsidR="000B782D" w14:paraId="334AE3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A521F2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2B81F2C3" w14:textId="77777777" w:rsidR="000B782D" w:rsidRDefault="0018275F">
            <w:pPr>
              <w:spacing w:before="40" w:after="40" w:line="276" w:lineRule="auto"/>
            </w:pPr>
            <w:r>
              <w:rPr>
                <w:sz w:val="20"/>
              </w:rPr>
              <w:t>17.9%</w:t>
            </w:r>
          </w:p>
        </w:tc>
      </w:tr>
      <w:tr w:rsidR="000B782D" w14:paraId="7967E6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FDFCB9"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2E8E" w14:textId="77777777" w:rsidR="000B782D" w:rsidRDefault="0018275F">
            <w:pPr>
              <w:spacing w:before="40" w:after="40" w:line="276" w:lineRule="auto"/>
            </w:pPr>
            <w:r>
              <w:rPr>
                <w:sz w:val="20"/>
              </w:rPr>
              <w:t>152.20</w:t>
            </w:r>
          </w:p>
        </w:tc>
      </w:tr>
      <w:tr w:rsidR="000B782D" w14:paraId="0D5EA0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1F968AA" w14:textId="77777777" w:rsidR="000B782D" w:rsidRDefault="0018275F">
            <w:pPr>
              <w:spacing w:before="40" w:after="40" w:line="276" w:lineRule="auto"/>
            </w:pPr>
            <w:r>
              <w:rPr>
                <w:sz w:val="20"/>
              </w:rPr>
              <w:t xml:space="preserve">Wild </w:t>
            </w:r>
            <w:r>
              <w:rPr>
                <w:sz w:val="20"/>
              </w:rPr>
              <w:t>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783110CE" w14:textId="77777777" w:rsidR="000B782D" w:rsidRDefault="0018275F">
            <w:pPr>
              <w:spacing w:before="40" w:after="40" w:line="276" w:lineRule="auto"/>
            </w:pPr>
            <w:r>
              <w:rPr>
                <w:sz w:val="20"/>
              </w:rPr>
              <w:t>&lt; 0.001</w:t>
            </w:r>
          </w:p>
        </w:tc>
      </w:tr>
      <w:tr w:rsidR="000B782D" w14:paraId="3C3A14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24E9CE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1CE5F022" w14:textId="77777777" w:rsidR="000B782D" w:rsidRDefault="0018275F">
            <w:pPr>
              <w:spacing w:before="40" w:after="40" w:line="276" w:lineRule="auto"/>
            </w:pPr>
            <w:r>
              <w:rPr>
                <w:sz w:val="20"/>
              </w:rPr>
              <w:t>6,144</w:t>
            </w:r>
          </w:p>
        </w:tc>
      </w:tr>
      <w:tr w:rsidR="000B782D" w14:paraId="4167E5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B27F288" w14:textId="77777777" w:rsidR="000B782D" w:rsidRDefault="0018275F">
            <w:pPr>
              <w:spacing w:before="40" w:after="40" w:line="276" w:lineRule="auto"/>
            </w:pPr>
            <w:r>
              <w:rPr>
                <w:sz w:val="20"/>
              </w:rPr>
              <w:lastRenderedPageBreak/>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901AFA" w14:textId="77777777" w:rsidR="000B782D" w:rsidRDefault="0018275F">
            <w:pPr>
              <w:spacing w:before="40" w:after="40" w:line="276" w:lineRule="auto"/>
            </w:pPr>
            <w:r>
              <w:rPr>
                <w:sz w:val="20"/>
              </w:rPr>
              <w:t>5,876</w:t>
            </w:r>
          </w:p>
        </w:tc>
      </w:tr>
      <w:tr w:rsidR="000B782D" w14:paraId="7E4BCE9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D3A351"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572D420D" w14:textId="77777777" w:rsidR="000B782D" w:rsidRDefault="0018275F">
            <w:pPr>
              <w:spacing w:before="40" w:after="40" w:line="276" w:lineRule="auto"/>
            </w:pPr>
            <w:r>
              <w:rPr>
                <w:sz w:val="20"/>
              </w:rPr>
              <w:t>12,020</w:t>
            </w:r>
          </w:p>
        </w:tc>
      </w:tr>
    </w:tbl>
    <w:p w14:paraId="3D40E626" w14:textId="77777777" w:rsidR="000B782D" w:rsidRDefault="0018275F">
      <w:pPr>
        <w:spacing w:before="60" w:after="0" w:line="264" w:lineRule="auto"/>
      </w:pPr>
      <w:r>
        <w:rPr>
          <w:b/>
          <w:i/>
          <w:sz w:val="18"/>
        </w:rPr>
        <w:t xml:space="preserve">Тэмдэглэл: </w:t>
      </w:r>
      <w:r>
        <w:rPr>
          <w:i/>
          <w:sz w:val="18"/>
        </w:rPr>
        <w:t>Wild bootstrap нь Радемахерийн жингүүдтэй 1,000 борлуулалтаар үүсгэгдсэн. Үндсэн түүвэр ӨНЭЗС 2020+2021+2024.</w:t>
      </w:r>
    </w:p>
    <w:p w14:paraId="7DCA064F" w14:textId="77777777" w:rsidR="000B782D" w:rsidRDefault="0018275F">
      <w:pPr>
        <w:spacing w:before="60" w:after="240" w:line="276" w:lineRule="auto"/>
        <w:jc w:val="right"/>
      </w:pPr>
      <w:r>
        <w:rPr>
          <w:i/>
          <w:sz w:val="20"/>
        </w:rPr>
        <w:t>Эх сурвалж: Оюутны тооцоолол</w:t>
      </w:r>
    </w:p>
    <w:p w14:paraId="4A6101FB" w14:textId="77777777" w:rsidR="000B782D" w:rsidRDefault="0018275F">
      <w:pPr>
        <w:ind w:firstLine="567"/>
        <w:jc w:val="both"/>
      </w:pPr>
      <w:r>
        <w:t>Рег</w:t>
      </w:r>
      <w:r>
        <w:t>им тус бүрийн өгөөжийн зөрүүг Зураг 4-т харьцуулан үзүүлэв.</w:t>
      </w:r>
    </w:p>
    <w:p w14:paraId="0695C8A3" w14:textId="77777777" w:rsidR="000B782D" w:rsidRDefault="0018275F">
      <w:pPr>
        <w:spacing w:after="60"/>
        <w:jc w:val="center"/>
      </w:pPr>
      <w:r>
        <w:rPr>
          <w:noProof/>
        </w:rPr>
        <w:drawing>
          <wp:inline distT="0" distB="0" distL="0" distR="0" wp14:anchorId="29F27EF1" wp14:editId="56FCB6B8">
            <wp:extent cx="4320000" cy="3702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4320000" cy="3702857"/>
                    </a:xfrm>
                    <a:prstGeom prst="rect">
                      <a:avLst/>
                    </a:prstGeom>
                  </pic:spPr>
                </pic:pic>
              </a:graphicData>
            </a:graphic>
          </wp:inline>
        </w:drawing>
      </w:r>
    </w:p>
    <w:p w14:paraId="3B3ECF82" w14:textId="77777777" w:rsidR="000B782D" w:rsidRDefault="0018275F">
      <w:pPr>
        <w:spacing w:before="60" w:after="60" w:line="276" w:lineRule="auto"/>
        <w:jc w:val="center"/>
      </w:pPr>
      <w:bookmarkStart w:id="18" w:name="Fig_4"/>
      <w:r>
        <w:rPr>
          <w:b/>
          <w:sz w:val="22"/>
        </w:rPr>
        <w:t xml:space="preserve">Зураг 4  </w:t>
      </w:r>
      <w:r>
        <w:rPr>
          <w:i/>
          <w:sz w:val="22"/>
        </w:rPr>
        <w:t>Босгоор тусгаарлагдсан боловсролын IV өгөөж (Caner–Hansen IVTR)</w:t>
      </w:r>
      <w:bookmarkEnd w:id="18"/>
    </w:p>
    <w:p w14:paraId="73AB9433" w14:textId="77777777" w:rsidR="000B782D" w:rsidRDefault="0018275F">
      <w:pPr>
        <w:spacing w:before="60" w:after="240" w:line="276" w:lineRule="auto"/>
        <w:jc w:val="right"/>
      </w:pPr>
      <w:r>
        <w:rPr>
          <w:i/>
          <w:sz w:val="20"/>
        </w:rPr>
        <w:t>Эх сурвалж: Оюутны тооцоолол</w:t>
      </w:r>
    </w:p>
    <w:p w14:paraId="186170E6" w14:textId="77777777" w:rsidR="000B782D" w:rsidRDefault="0018275F">
      <w:pPr>
        <w:ind w:firstLine="567"/>
        <w:jc w:val="both"/>
      </w:pPr>
      <w:r>
        <w:t xml:space="preserve">Судалгааны хамгийн чухал эмпирик олдвор нь 13 жилийн босгон дээр боловсролын </w:t>
      </w:r>
      <w:r>
        <w:t>өгөөжийн огцом үсрэлт юм. Босгоноос доош (educ ≤ 13) нэг жилийн өгөөж ердөө 5.5%, харин босгоноос дээш (educ &gt; 13) 17.9% болж 3.3 дахин өсч байна. Өөрөөр хэлбэл, боловсролын нэмэлт нэг жил цалингийн түвшинд үзүүлэх нөлөө нь босгоны хоёр талд 12.4 нэгж хуви</w:t>
      </w:r>
      <w:r>
        <w:t>ар ялгаатай байна. Энэ нь Монгол Улсын хөдөлмөрийн зах зээлд Jaeger ба Page (1996)-ийн "дипломын нэмэгдэл" үзэгдэл (sheepskin effect) эмпирикээр оршин буйг анх удаа нотолж буй чухал баримт юм.</w:t>
      </w:r>
    </w:p>
    <w:p w14:paraId="6D34F182" w14:textId="77777777" w:rsidR="000B782D" w:rsidRDefault="0018275F">
      <w:pPr>
        <w:ind w:firstLine="567"/>
        <w:jc w:val="both"/>
      </w:pPr>
      <w:r>
        <w:t>Бүтцийн хугарлын статистик ач холбогдлыг SupWald шалгуураар шал</w:t>
      </w:r>
      <w:r>
        <w:t>гахад утга нь 152.20 болж, стандарт хи-квадратын критик утгуудаас олон дахин давсан. Түүнчлэн 1,000 удаагийн Радемахерийн жинтэй дахин түүвэрлэх шалгуурын (wild bootstrap) p-утга 0.001-ээс бага байгаа нь босго тохиолдлын шинжгүй статистикийн хувьд маш өндө</w:t>
      </w:r>
      <w:r>
        <w:t xml:space="preserve">р ач </w:t>
      </w:r>
      <w:r>
        <w:lastRenderedPageBreak/>
        <w:t>холбогдолтой болохыг баталгаажуулав. Доод регимд 6,144 хүн, дээд регимд 5,876 хүн хуваарилагдав.</w:t>
      </w:r>
    </w:p>
    <w:p w14:paraId="2321ECC8"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w:t>
      </w:r>
      <w:r>
        <w:t>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w:t>
      </w:r>
      <w:r>
        <w:t>даад хэл) бүрэн нийцэж чадахгүй болох магадлалтайг илтгэж байна.</w:t>
      </w:r>
    </w:p>
    <w:p w14:paraId="67858580"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w:t>
      </w:r>
      <w:r>
        <w:t>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w:t>
      </w:r>
      <w:r>
        <w:t>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085F7F55" w14:textId="77777777" w:rsidR="000B782D" w:rsidRDefault="0018275F">
      <w:pPr>
        <w:ind w:firstLine="567"/>
        <w:jc w:val="both"/>
      </w:pPr>
      <w:r>
        <w:t>OLS ба IV үнэлгээний</w:t>
      </w:r>
      <w:r>
        <w:t xml:space="preserve"> давалгаа хоорондын харьцуулалтыг Зураг 5-т танилцуулав. OLS үнэлгээ нь давалгаа тус бүрд 4.9–8.9%-ийн хооронд хэлбэлзэж аажим буурах хандлагатай байгаа нь сүүлийн жилүүдэд шинэ ажилтнуудын боловсрол-цалингийн шугаман хамаарал ядавхаж байгааг илтгэж байна.</w:t>
      </w:r>
      <w:r>
        <w:t xml:space="preserve"> Харин IV үнэлгээ нь ойролцоогоор 11% түвшинд тогтвортой хадгалагдаж буй нь эндогений хазайлтыг засаж үнэлсэн бодит өгөөж нь цаг хугацааны хувьд тогтвортой болохыг харуулна.</w:t>
      </w:r>
    </w:p>
    <w:p w14:paraId="52A48EB5" w14:textId="77777777" w:rsidR="000B782D" w:rsidRDefault="0018275F">
      <w:pPr>
        <w:spacing w:after="60"/>
        <w:jc w:val="center"/>
      </w:pPr>
      <w:r>
        <w:rPr>
          <w:noProof/>
        </w:rPr>
        <w:lastRenderedPageBreak/>
        <w:drawing>
          <wp:inline distT="0" distB="0" distL="0" distR="0" wp14:anchorId="37FAA283" wp14:editId="2539441F">
            <wp:extent cx="5040000" cy="37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040000" cy="3780000"/>
                    </a:xfrm>
                    <a:prstGeom prst="rect">
                      <a:avLst/>
                    </a:prstGeom>
                  </pic:spPr>
                </pic:pic>
              </a:graphicData>
            </a:graphic>
          </wp:inline>
        </w:drawing>
      </w:r>
    </w:p>
    <w:p w14:paraId="0E03A3C1" w14:textId="77777777" w:rsidR="000B782D" w:rsidRDefault="0018275F">
      <w:pPr>
        <w:spacing w:before="60" w:after="60" w:line="276" w:lineRule="auto"/>
        <w:jc w:val="center"/>
      </w:pPr>
      <w:bookmarkStart w:id="19" w:name="Fig_5"/>
      <w:r>
        <w:rPr>
          <w:b/>
          <w:sz w:val="22"/>
        </w:rPr>
        <w:t xml:space="preserve">Зураг 5  </w:t>
      </w:r>
      <w:r>
        <w:rPr>
          <w:i/>
          <w:sz w:val="22"/>
        </w:rPr>
        <w:t>OLS ба IV үнэлгээний давалгаа хоорондын харьцуулалт</w:t>
      </w:r>
      <w:bookmarkEnd w:id="19"/>
    </w:p>
    <w:p w14:paraId="3CADC91A"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208C7CE" w14:textId="77777777" w:rsidR="000B782D" w:rsidRDefault="0018275F">
      <w:pPr>
        <w:pStyle w:val="Heading2"/>
        <w:spacing w:after="120"/>
      </w:pPr>
      <w:r>
        <w:t>4.4. Тогтвортой байдлын шинжилгээ</w:t>
      </w:r>
    </w:p>
    <w:p w14:paraId="55E6101D" w14:textId="77777777" w:rsidR="000B782D" w:rsidRDefault="0018275F">
      <w:pPr>
        <w:ind w:firstLine="567"/>
        <w:jc w:val="both"/>
      </w:pPr>
      <w:r>
        <w:t>Үндсэн үр дүнгийн тогтвортой байдлыг түүврийн дэд бүлгүүдээр шалгасан үр дүнг Хүснэгт 6-т нэгтгэн танилцуулав. Эмэгтэй ажилтнуудын боловсролын өгөөж (β = 0.0774) нь эрэгтэй ажилтнуудынхаас (β = 0.0565) 36%-иар өн</w:t>
      </w:r>
      <w:r>
        <w:t>дөр гарсан нь Монгол Улсын хөдөлмөрийн зах зээлд хүйсээр ялгавартай бүтэц бий болохыг тод харуулж байна.</w:t>
      </w:r>
    </w:p>
    <w:p w14:paraId="76050020" w14:textId="77777777" w:rsidR="000B782D" w:rsidRDefault="0018275F">
      <w:pPr>
        <w:ind w:firstLine="567"/>
        <w:jc w:val="both"/>
      </w:pPr>
      <w:r>
        <w:t>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w:t>
      </w:r>
      <w:r>
        <w:t xml:space="preserve">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w:t>
      </w:r>
      <w:r>
        <w:t>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w:t>
      </w:r>
      <w:r>
        <w:t>лын өгөөж үе хоорондын хувьд системтэй ялгаагүй болохыг харуулна.</w:t>
      </w:r>
    </w:p>
    <w:p w14:paraId="38E2B26D" w14:textId="77777777" w:rsidR="000B782D" w:rsidRDefault="0018275F">
      <w:pPr>
        <w:spacing w:before="240" w:after="60" w:line="276" w:lineRule="auto"/>
      </w:pPr>
      <w:bookmarkStart w:id="20" w:name="Tbl_6"/>
      <w:r>
        <w:rPr>
          <w:b/>
          <w:sz w:val="22"/>
        </w:rPr>
        <w:t xml:space="preserve">Хүснэгт 6  </w:t>
      </w:r>
      <w:r>
        <w:rPr>
          <w:i/>
          <w:sz w:val="22"/>
        </w:rPr>
        <w:t>Үндсэн үр дүнгийн робастнес шинжилгээ (OLS+FE)</w:t>
      </w:r>
      <w:bookmarkEnd w:id="20"/>
    </w:p>
    <w:tbl>
      <w:tblPr>
        <w:tblW w:w="0" w:type="auto"/>
        <w:jc w:val="center"/>
        <w:tblLayout w:type="fixed"/>
        <w:tblLook w:val="04A0" w:firstRow="1" w:lastRow="0" w:firstColumn="1" w:lastColumn="0" w:noHBand="0" w:noVBand="1"/>
      </w:tblPr>
      <w:tblGrid>
        <w:gridCol w:w="2835"/>
        <w:gridCol w:w="2098"/>
        <w:gridCol w:w="2098"/>
        <w:gridCol w:w="1701"/>
      </w:tblGrid>
      <w:tr w:rsidR="000B782D" w14:paraId="703C92C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BE3E187" w14:textId="77777777" w:rsidR="000B782D" w:rsidRDefault="0018275F">
            <w:pPr>
              <w:spacing w:before="40" w:after="40" w:line="276" w:lineRule="auto"/>
              <w:jc w:val="center"/>
            </w:pPr>
            <w:r>
              <w:rPr>
                <w:b/>
                <w:sz w:val="20"/>
              </w:rPr>
              <w:lastRenderedPageBreak/>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4FE165"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86A227"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07906D" w14:textId="77777777" w:rsidR="000B782D" w:rsidRDefault="0018275F">
            <w:pPr>
              <w:spacing w:before="40" w:after="40" w:line="276" w:lineRule="auto"/>
              <w:jc w:val="center"/>
            </w:pPr>
            <w:r>
              <w:rPr>
                <w:b/>
                <w:sz w:val="20"/>
              </w:rPr>
              <w:t>N</w:t>
            </w:r>
          </w:p>
        </w:tc>
      </w:tr>
      <w:tr w:rsidR="000B782D" w14:paraId="38239D8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ED75BFE"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6F1039B"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67240D19"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6D177655" w14:textId="77777777" w:rsidR="000B782D" w:rsidRDefault="0018275F">
            <w:pPr>
              <w:spacing w:before="40" w:after="40" w:line="276" w:lineRule="auto"/>
              <w:jc w:val="right"/>
            </w:pPr>
            <w:r>
              <w:rPr>
                <w:sz w:val="20"/>
              </w:rPr>
              <w:t>49,357</w:t>
            </w:r>
          </w:p>
        </w:tc>
      </w:tr>
      <w:tr w:rsidR="000B782D" w14:paraId="0EAA93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960220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80677C2"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7B2D01B3"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08A72106" w14:textId="77777777" w:rsidR="000B782D" w:rsidRDefault="0018275F">
            <w:pPr>
              <w:spacing w:before="40" w:after="40" w:line="276" w:lineRule="auto"/>
              <w:jc w:val="right"/>
            </w:pPr>
            <w:r>
              <w:rPr>
                <w:sz w:val="20"/>
              </w:rPr>
              <w:t>24,788</w:t>
            </w:r>
          </w:p>
        </w:tc>
      </w:tr>
      <w:tr w:rsidR="000B782D" w14:paraId="54894E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0E4026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63CAB98"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608FA3F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0191E19F" w14:textId="77777777" w:rsidR="000B782D" w:rsidRDefault="0018275F">
            <w:pPr>
              <w:spacing w:before="40" w:after="40" w:line="276" w:lineRule="auto"/>
              <w:jc w:val="right"/>
            </w:pPr>
            <w:r>
              <w:rPr>
                <w:sz w:val="20"/>
              </w:rPr>
              <w:t>24,569</w:t>
            </w:r>
          </w:p>
        </w:tc>
      </w:tr>
      <w:tr w:rsidR="000B782D" w14:paraId="1525308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29B37DC"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7BAB40A"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20999131"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3E63C910" w14:textId="77777777" w:rsidR="000B782D" w:rsidRDefault="0018275F">
            <w:pPr>
              <w:spacing w:before="40" w:after="40" w:line="276" w:lineRule="auto"/>
              <w:jc w:val="right"/>
            </w:pPr>
            <w:r>
              <w:rPr>
                <w:sz w:val="20"/>
              </w:rPr>
              <w:t>33,531</w:t>
            </w:r>
          </w:p>
        </w:tc>
      </w:tr>
      <w:tr w:rsidR="000B782D" w14:paraId="4C54D9C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C24F21"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0F627A69"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4FFEC451"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7BBE3DC6" w14:textId="77777777" w:rsidR="000B782D" w:rsidRDefault="0018275F">
            <w:pPr>
              <w:spacing w:before="40" w:after="40" w:line="276" w:lineRule="auto"/>
              <w:jc w:val="right"/>
            </w:pPr>
            <w:r>
              <w:rPr>
                <w:sz w:val="20"/>
              </w:rPr>
              <w:t>27,879</w:t>
            </w:r>
          </w:p>
        </w:tc>
      </w:tr>
      <w:tr w:rsidR="000B782D" w14:paraId="62EB49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E338314"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493883A9"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181FCBBB"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6D7768A" w14:textId="77777777" w:rsidR="000B782D" w:rsidRDefault="0018275F">
            <w:pPr>
              <w:spacing w:before="40" w:after="40" w:line="276" w:lineRule="auto"/>
              <w:jc w:val="right"/>
            </w:pPr>
            <w:r>
              <w:rPr>
                <w:sz w:val="20"/>
              </w:rPr>
              <w:t>21,478</w:t>
            </w:r>
          </w:p>
        </w:tc>
      </w:tr>
    </w:tbl>
    <w:p w14:paraId="775E450C" w14:textId="77777777" w:rsidR="000B782D" w:rsidRDefault="0018275F">
      <w:pPr>
        <w:spacing w:before="60" w:after="240" w:line="276" w:lineRule="auto"/>
        <w:jc w:val="right"/>
      </w:pPr>
      <w:r>
        <w:rPr>
          <w:i/>
          <w:sz w:val="20"/>
        </w:rPr>
        <w:t>Эх сурвалж: Оюутны тооцоолол</w:t>
      </w:r>
    </w:p>
    <w:p w14:paraId="768BC894" w14:textId="77777777" w:rsidR="000B782D" w:rsidRDefault="0018275F">
      <w:pPr>
        <w:ind w:firstLine="567"/>
        <w:jc w:val="both"/>
      </w:pPr>
      <w:r>
        <w:t xml:space="preserve">Хэрэгсэл хувьсагчийн хүчин төгөлдөр байдлыг хяналтын тест </w:t>
      </w:r>
      <w:r>
        <w:t>(placebo)-аар нэмэлтээр шалгав. Боловсролын 8 жилээс доош (буюу ЕБС-ийн дунд ангиас доош) боловсролтой ажилтнуудын дэд түүвэрт Улаанбаатар хүртэлх зайн эхний шатны коэффициент нь t = 0.80 буюу ач холбогдолгүй гарсан. Харин 8 жилээс дээш боловсролтой дэд тү</w:t>
      </w:r>
      <w:r>
        <w:t>үвэрт коэффициент t = 3.32 буюу ач холбогдолтой гарав. Энэ нь хэрэгсэл хувьсагч нь зөвхөн боловсролыг сонгох шийдвэрт нөлөөлдөг боловч бага боловсролтой иргэдийн цалинд шууд нөлөөлдөггүй гэсэн экзоген нөхцлийг эмпирикээр дэмжих болно.</w:t>
      </w:r>
    </w:p>
    <w:p w14:paraId="6B9AD345" w14:textId="77777777" w:rsidR="000B782D" w:rsidRDefault="0018275F">
      <w:pPr>
        <w:ind w:firstLine="567"/>
        <w:jc w:val="both"/>
      </w:pPr>
      <w:r>
        <w:t>Түүврийн сонголтын ха</w:t>
      </w:r>
      <w:r>
        <w:t>зайлтыг Хекманы хоёр шатлалт аргаар шалгасан. Милсийн урвуу харьцааны коэффициент 0.0406 (стандарт алдаа 0.0783, t = −0.52) буюу статистикийн хувьд ач холбогдолгүй байсан. Хекманы засвартай β_educ = 0.0671 нь энгийн OLS-ийн 0.0661-тай бараг адил гарсан. Үү</w:t>
      </w:r>
      <w:r>
        <w:t>нээс үзвэл цалинтай ажилтны түүврийн сонголт нь үндсэн үр дүнд мэдэгдэхүйц хазайлт үүсгээгүй болно.</w:t>
      </w:r>
    </w:p>
    <w:p w14:paraId="2DA7E17F" w14:textId="77777777" w:rsidR="000B782D" w:rsidRDefault="0018275F">
      <w:pPr>
        <w:pStyle w:val="Heading2"/>
        <w:spacing w:after="120"/>
      </w:pPr>
      <w:r>
        <w:t>4.5. Эконометрик загваруудын нэгдсэн дүгнэлт</w:t>
      </w:r>
    </w:p>
    <w:p w14:paraId="1C82A07A" w14:textId="77777777" w:rsidR="000B782D" w:rsidRDefault="0018275F">
      <w:pPr>
        <w:spacing w:before="240" w:after="60" w:line="276" w:lineRule="auto"/>
      </w:pPr>
      <w:bookmarkStart w:id="21" w:name="Tbl_7"/>
      <w:r>
        <w:rPr>
          <w:b/>
          <w:sz w:val="22"/>
        </w:rPr>
        <w:t xml:space="preserve">Хүснэгт 7  </w:t>
      </w:r>
      <w:r>
        <w:rPr>
          <w:i/>
          <w:sz w:val="22"/>
        </w:rPr>
        <w:t>Эконометрик загваруудын нэгдсэн дүгнэлт</w:t>
      </w:r>
      <w:bookmarkEnd w:id="21"/>
    </w:p>
    <w:tbl>
      <w:tblPr>
        <w:tblW w:w="0" w:type="auto"/>
        <w:jc w:val="center"/>
        <w:tblLayout w:type="fixed"/>
        <w:tblLook w:val="04A0" w:firstRow="1" w:lastRow="0" w:firstColumn="1" w:lastColumn="0" w:noHBand="0" w:noVBand="1"/>
      </w:tblPr>
      <w:tblGrid>
        <w:gridCol w:w="3685"/>
        <w:gridCol w:w="1814"/>
        <w:gridCol w:w="1984"/>
        <w:gridCol w:w="1587"/>
      </w:tblGrid>
      <w:tr w:rsidR="000B782D" w14:paraId="5EF1F4A7"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532BE8"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C836FA"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F1EA89"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5BF822E" w14:textId="77777777" w:rsidR="000B782D" w:rsidRDefault="0018275F">
            <w:pPr>
              <w:spacing w:before="40" w:after="40" w:line="276" w:lineRule="auto"/>
              <w:jc w:val="center"/>
            </w:pPr>
            <w:r>
              <w:rPr>
                <w:b/>
                <w:sz w:val="20"/>
              </w:rPr>
              <w:t>N</w:t>
            </w:r>
          </w:p>
        </w:tc>
      </w:tr>
      <w:tr w:rsidR="000B782D" w14:paraId="01697CB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34391A0"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64A44"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07CBF3D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554CA1" w14:textId="77777777" w:rsidR="000B782D" w:rsidRDefault="0018275F">
            <w:pPr>
              <w:spacing w:before="40" w:after="40" w:line="276" w:lineRule="auto"/>
              <w:jc w:val="right"/>
            </w:pPr>
            <w:r>
              <w:rPr>
                <w:sz w:val="20"/>
              </w:rPr>
              <w:t>49,357</w:t>
            </w:r>
          </w:p>
        </w:tc>
      </w:tr>
      <w:tr w:rsidR="000B782D" w14:paraId="6711B80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6E1D26B"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60522238"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49F7B15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3E5BE94B" w14:textId="77777777" w:rsidR="000B782D" w:rsidRDefault="0018275F">
            <w:pPr>
              <w:spacing w:before="40" w:after="40" w:line="276" w:lineRule="auto"/>
              <w:jc w:val="right"/>
            </w:pPr>
            <w:r>
              <w:rPr>
                <w:sz w:val="20"/>
              </w:rPr>
              <w:t>49,357</w:t>
            </w:r>
          </w:p>
        </w:tc>
      </w:tr>
      <w:tr w:rsidR="000B782D" w14:paraId="7649206C"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CE30A6"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A2D220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10802D15"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204E48BC" w14:textId="77777777" w:rsidR="000B782D" w:rsidRDefault="0018275F">
            <w:pPr>
              <w:spacing w:before="40" w:after="40" w:line="276" w:lineRule="auto"/>
              <w:jc w:val="right"/>
            </w:pPr>
            <w:r>
              <w:rPr>
                <w:sz w:val="20"/>
              </w:rPr>
              <w:t>692</w:t>
            </w:r>
          </w:p>
        </w:tc>
      </w:tr>
      <w:tr w:rsidR="000B782D" w14:paraId="0C405CA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E6DBE0D"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0320EB7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0F50520"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2D26382" w14:textId="77777777" w:rsidR="000B782D" w:rsidRDefault="0018275F">
            <w:pPr>
              <w:spacing w:before="40" w:after="40" w:line="276" w:lineRule="auto"/>
              <w:jc w:val="right"/>
            </w:pPr>
            <w:r>
              <w:rPr>
                <w:sz w:val="20"/>
              </w:rPr>
              <w:t>692</w:t>
            </w:r>
          </w:p>
        </w:tc>
      </w:tr>
      <w:tr w:rsidR="000B782D" w14:paraId="71949F10"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C2E3D45"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34F13D0F"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25C03CBF"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5AE72C20" w14:textId="77777777" w:rsidR="000B782D" w:rsidRDefault="0018275F">
            <w:pPr>
              <w:spacing w:before="40" w:after="40" w:line="276" w:lineRule="auto"/>
              <w:jc w:val="right"/>
            </w:pPr>
            <w:r>
              <w:rPr>
                <w:sz w:val="20"/>
              </w:rPr>
              <w:t>12,020</w:t>
            </w:r>
          </w:p>
        </w:tc>
      </w:tr>
      <w:tr w:rsidR="000B782D" w14:paraId="0881819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DA7280A"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0B7F1F5"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BCA1440"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277C9B2" w14:textId="77777777" w:rsidR="000B782D" w:rsidRDefault="0018275F">
            <w:pPr>
              <w:spacing w:before="40" w:after="40" w:line="276" w:lineRule="auto"/>
              <w:jc w:val="right"/>
            </w:pPr>
            <w:r>
              <w:rPr>
                <w:sz w:val="20"/>
              </w:rPr>
              <w:t>7,746</w:t>
            </w:r>
          </w:p>
        </w:tc>
      </w:tr>
      <w:tr w:rsidR="000B782D" w14:paraId="0BF6C1AD"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56369B"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6579B897"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9AB626F"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0EEBED2E" w14:textId="77777777" w:rsidR="000B782D" w:rsidRDefault="0018275F">
            <w:pPr>
              <w:spacing w:before="40" w:after="40" w:line="276" w:lineRule="auto"/>
              <w:jc w:val="right"/>
            </w:pPr>
            <w:r>
              <w:rPr>
                <w:sz w:val="20"/>
              </w:rPr>
              <w:t>7,746</w:t>
            </w:r>
          </w:p>
        </w:tc>
      </w:tr>
      <w:tr w:rsidR="000B782D" w14:paraId="715EBDE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470B3A9"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42A91B82"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6C911E2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163E5C11" w14:textId="77777777" w:rsidR="000B782D" w:rsidRDefault="0018275F">
            <w:pPr>
              <w:spacing w:before="40" w:after="40" w:line="276" w:lineRule="auto"/>
              <w:jc w:val="right"/>
            </w:pPr>
            <w:r>
              <w:rPr>
                <w:sz w:val="20"/>
              </w:rPr>
              <w:t>6,144</w:t>
            </w:r>
          </w:p>
        </w:tc>
      </w:tr>
      <w:tr w:rsidR="000B782D" w14:paraId="72A1E84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957C8"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2D998B78"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76883F13"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63E8BCDA" w14:textId="77777777" w:rsidR="000B782D" w:rsidRDefault="0018275F">
            <w:pPr>
              <w:spacing w:before="40" w:after="40" w:line="276" w:lineRule="auto"/>
              <w:jc w:val="right"/>
            </w:pPr>
            <w:r>
              <w:rPr>
                <w:sz w:val="20"/>
              </w:rPr>
              <w:t>5,876</w:t>
            </w:r>
          </w:p>
        </w:tc>
      </w:tr>
      <w:tr w:rsidR="000B782D" w14:paraId="5BA5DB13"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8582FDA"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7A308C0B"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337977A2"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55EF6295" w14:textId="77777777" w:rsidR="000B782D" w:rsidRDefault="0018275F">
            <w:pPr>
              <w:spacing w:before="40" w:after="40" w:line="276" w:lineRule="auto"/>
              <w:jc w:val="right"/>
            </w:pPr>
            <w:r>
              <w:rPr>
                <w:sz w:val="20"/>
              </w:rPr>
              <w:t>49,811</w:t>
            </w:r>
          </w:p>
        </w:tc>
      </w:tr>
    </w:tbl>
    <w:p w14:paraId="04D245CB" w14:textId="77777777" w:rsidR="000B782D" w:rsidRDefault="0018275F">
      <w:pPr>
        <w:spacing w:before="60" w:after="240" w:line="276" w:lineRule="auto"/>
        <w:jc w:val="right"/>
      </w:pPr>
      <w:r>
        <w:rPr>
          <w:i/>
          <w:sz w:val="20"/>
        </w:rPr>
        <w:lastRenderedPageBreak/>
        <w:t>Эх сурвалж: Оюутны тооцоолол</w:t>
      </w:r>
    </w:p>
    <w:p w14:paraId="11CC20B7" w14:textId="77777777" w:rsidR="000B782D" w:rsidRDefault="0018275F">
      <w:pPr>
        <w:ind w:firstLine="567"/>
        <w:jc w:val="both"/>
      </w:pPr>
      <w:r>
        <w:t xml:space="preserve">Хүснэгт 7-оос харвал OLS, псевдо-панел FE/RE, 2SLS, IVTR гэсэн дөрвөн шатлалт шинжилгээ нь </w:t>
      </w:r>
      <w:r>
        <w:t>нэгдмэл дүр зураг өгч байна. Хамгийн нарийвчилсан үнэлгээ болох IVTR нь боловсролын өгөөж шугаман биш, 13 жилийн босгоны хоёр талд ялгаатай бүтэцтэй болохыг баталсан. Энгийн OLS-ийн 6.8%-ийн дундаж нь уг бүтцийн хугарлыг далдалж буй нэгдсэн тоо байсан бөгө</w:t>
      </w:r>
      <w:r>
        <w:t>өд IVTR-ын регим 1 (5.5%) ба регим 2 (17.9%)-ийн дунд оршиж байгаа нь эдийн засгийн утгын хувьд цэгцтэй дүр зургийг гаргаж байна.</w:t>
      </w:r>
    </w:p>
    <w:p w14:paraId="5F0FC726" w14:textId="77777777" w:rsidR="000B782D" w:rsidRDefault="0018275F">
      <w:r>
        <w:br w:type="page"/>
      </w:r>
    </w:p>
    <w:p w14:paraId="7B57DF42" w14:textId="77777777" w:rsidR="000B782D" w:rsidRDefault="0018275F">
      <w:pPr>
        <w:pStyle w:val="Heading1"/>
        <w:spacing w:after="240"/>
      </w:pPr>
      <w:bookmarkStart w:id="22" w:name="_Toc227332440"/>
      <w:r>
        <w:rPr>
          <w:sz w:val="28"/>
        </w:rPr>
        <w:lastRenderedPageBreak/>
        <w:t>V БҮЛЭГ. ХЭЛЭЛЦҮҮЛЭГ</w:t>
      </w:r>
      <w:bookmarkEnd w:id="22"/>
    </w:p>
    <w:p w14:paraId="751CDABD" w14:textId="77777777" w:rsidR="000B782D" w:rsidRDefault="0018275F">
      <w:pPr>
        <w:pStyle w:val="Heading2"/>
        <w:spacing w:after="120"/>
      </w:pPr>
      <w:r>
        <w:t>5.1. Гол олдворуудын эдийн засгийн тайлбар</w:t>
      </w:r>
    </w:p>
    <w:p w14:paraId="6F0076EC" w14:textId="77777777" w:rsidR="000B782D" w:rsidRDefault="0018275F">
      <w:pPr>
        <w:ind w:firstLine="567"/>
        <w:jc w:val="both"/>
      </w:pPr>
      <w:r>
        <w:t xml:space="preserve">Энэхүү судалгааны гол эмпирик олдвор нь Монгол Улсын </w:t>
      </w:r>
      <w:r>
        <w:t>хөдөлмөрийн зах зээлд боловсролын өгөөж 13 жилийн босгон дээр эрс огцом үсрэлттэй байна гэдэг явдал юм. Уг босго нь санамсаргүй тохиолдсон зүйл биш, харин Монгол Улсын боловсролын тогтолцооны институцийн бүтцэд нягт холбоотой. 12 жилийн ерөнхий боловсрол н</w:t>
      </w:r>
      <w:r>
        <w:t>ь 2008 оны шинэчлэлээс хойш нэгдсэн стандарт болж, 13-ны жил нь МСҮТ-ийн эхний жил, коллежийн нэг жилийн бэлтгэл сургалт, их сургуулийн анхны курс зэрэгтэй тохирч байна.</w:t>
      </w:r>
    </w:p>
    <w:p w14:paraId="7FDF3C15" w14:textId="77777777" w:rsidR="000B782D" w:rsidRDefault="0018275F">
      <w:pPr>
        <w:ind w:firstLine="567"/>
        <w:jc w:val="both"/>
      </w:pPr>
      <w:r>
        <w:t>Уг бүтцийн хугарал нь Jaeger ба Page (1996)-ийн "дипломын нэмэгдэл" үзэгдэл (sheepskin</w:t>
      </w:r>
      <w:r>
        <w:t xml:space="preserve"> effect) болон Spence (1973)-ийн дохионы онолын (signaling) таамаглалтай бүрэн нийцэж байна. Ажил олгогчид боловсролыг жил тус бүрд нь биш, харин дипломын түвшнээр ялгаж, ажиллах хүчний чанарын дохио болгон ашигладаг. Монгол Улсад төрийн албанд орох шалгал</w:t>
      </w:r>
      <w:r>
        <w:t>т, эрүүл мэнд, боловсрол, хууль эрх зүй, санхүүгийн салбарт бакалаврын диплом хатуу шалгуур болдог тул диплом эзэмшсэн хүмүүс тусдаа өндөр цалингийн ангилалд хамаардаг. Мөн Ай Ар Ай Эм ХХК (2015)-ийн тайланд тэмдэглэснээр дээд боловсролтой иргэдийн ажилгүй</w:t>
      </w:r>
      <w:r>
        <w:t>длийн түвшин (5.6%) бусад түвшнийхээс доогуур байдаг нь дипломын институцийн үнэ цэнийг баталгаажуулж байна.</w:t>
      </w:r>
    </w:p>
    <w:p w14:paraId="3210F7AD" w14:textId="77777777" w:rsidR="000B782D" w:rsidRDefault="0018275F">
      <w:pPr>
        <w:ind w:firstLine="567"/>
        <w:jc w:val="both"/>
      </w:pPr>
      <w:r>
        <w:t>Мөн чухал нь, доод регимд илэрсэн 5.5%-ийн харьцангуй бага өгөөж нь Монголын ЕБС-ийн дунд шатны мэргэжлийн ур чадварын түвшинтэй уялдаатай юм. Ажил</w:t>
      </w:r>
      <w:r>
        <w:t>лах хүчний зах зээл дэх эрэлт хурдтай өөрчлөгдөж буй орчинд (мэдээллийн технологи, санхүү, гадаад хэл, нарийн мэргэжлийн техникийн ур чадвар), ЕБС-ийн сургалтын агуулга одоогийн ажил олгогчдын шаардлагад бүрэн нийцэж чадахгүй байна. Энэ нь Монголбанк-ны су</w:t>
      </w:r>
      <w:r>
        <w:t>длаач Болдбаатар (2017)-ын дурдсан боловсролын чанарыг бус жилийг хэмжих стандарт хандлагын сул талыг мөн илтгэж буй юм.</w:t>
      </w:r>
    </w:p>
    <w:p w14:paraId="4FFA800A" w14:textId="77777777" w:rsidR="000B782D" w:rsidRDefault="0018275F">
      <w:pPr>
        <w:pStyle w:val="Heading2"/>
        <w:spacing w:after="120"/>
      </w:pPr>
      <w:r>
        <w:t>5.2. Өмнөх судалгаануудтай харьцуулалт</w:t>
      </w:r>
    </w:p>
    <w:p w14:paraId="580ED174" w14:textId="77777777" w:rsidR="000B782D" w:rsidRDefault="0018275F">
      <w:pPr>
        <w:ind w:firstLine="567"/>
        <w:jc w:val="both"/>
      </w:pPr>
      <w:r>
        <w:t>Энэхүү судалгааны OLS+FE үнэлгээ (6.8%) нь Pastore (2010)-ийн 7–9%, Дэлхийн банкны Claudio ба Pa</w:t>
      </w:r>
      <w:r>
        <w:t xml:space="preserve">trinos (2014)-ийн 10.1% тооцоотой ерөнхийдөө нийцэж байна. Гэхдээ уг өмнөх бүтээлүүд нь нэг нэгдсэн дундаж үнэлгээг гаргаж, босгоны хоёр талын ялгааг далдлан харуулаагүй. Иймд бодлогын тайланд "Монголд боловсролын өгөөж </w:t>
      </w:r>
      <w:r>
        <w:lastRenderedPageBreak/>
        <w:t>дундаж 8% орчим" гэсэн нэг тооны дүр</w:t>
      </w:r>
      <w:r>
        <w:t xml:space="preserve"> зургийг бий болгосон нь бүх түвшний боловсролд ижил үр нөлөөтэй гэсэн төөрөгдүүлсэн ойлголтыг бий болгов.</w:t>
      </w:r>
    </w:p>
    <w:p w14:paraId="4B863677" w14:textId="77777777" w:rsidR="000B782D" w:rsidRDefault="0018275F">
      <w:pPr>
        <w:ind w:firstLine="567"/>
        <w:jc w:val="both"/>
      </w:pPr>
      <w:r>
        <w:t xml:space="preserve">Энэхүү судалгааны IVTR үр дүнг Pastore-ийн жигнэсэн дундаж тооцооллоор харахад: хэрэв түүврийн 40% нь 13 жилээс доош, 60% нь 13 жилээс дээш </w:t>
      </w:r>
      <w:r>
        <w:t>боловсролтой байсан гэж үзвэл, жигнэсэн дундаж нь 0.4 × 5.5% + 0.6 × 17.9% ≈ 12.9% байх ёстой. Энэ тоо OLS-д хязгаарлагдсан Pastore (2010)-ийн 7–9% үнэлгээнээс 40%-иар өндөр байх байсан. Зөрүү нь OLS-ийн доош чиглэсэн хэмжилтийн хазайлт болон босгыг огт ав</w:t>
      </w:r>
      <w:r>
        <w:t>ч үзээгүйгээс үүдсэн болох нь харагдаж байна.</w:t>
      </w:r>
    </w:p>
    <w:p w14:paraId="76E45F93" w14:textId="77777777" w:rsidR="000B782D" w:rsidRDefault="0018275F">
      <w:pPr>
        <w:ind w:firstLine="567"/>
        <w:jc w:val="both"/>
      </w:pPr>
      <w:r>
        <w:t xml:space="preserve">Олон улсын контекстэд Psacharopoulos ба Patrinos (2018)-ийн 139 орныг хамарсан мета-шинжилгээнд боловсролын өгөөжийн дэлхийн дундаж жилд 9.0%, дээд боловсролынх 14.6% гэж тогтоосон. Манай IVTR-ын дээд регимийн </w:t>
      </w:r>
      <w:r>
        <w:t>17.9% нь энэхүү олон улсын жишгээс даваад байна. Энэ нь хөгжиж буй орнуудын хөдөлмөрийн зах зээлийн онцлогт нийцдэг дүр зураг юм: дипломын хомсдлын үед итгэмжлэлийн үнэ цэнэ харьцангуй өндөр байдаг (Duflo, 2001).</w:t>
      </w:r>
    </w:p>
    <w:p w14:paraId="32337D45" w14:textId="77777777" w:rsidR="000B782D" w:rsidRDefault="0018275F">
      <w:pPr>
        <w:pStyle w:val="Heading2"/>
        <w:spacing w:after="120"/>
      </w:pPr>
      <w:r>
        <w:t>5.3. Судалгааны хязгаарлалтууд</w:t>
      </w:r>
    </w:p>
    <w:p w14:paraId="7C598512" w14:textId="77777777" w:rsidR="000B782D" w:rsidRDefault="0018275F">
      <w:pPr>
        <w:ind w:firstLine="567"/>
        <w:jc w:val="both"/>
      </w:pPr>
      <w:r>
        <w:t>Энэхүү судал</w:t>
      </w:r>
      <w:r>
        <w:t>гаа хэд хэдэн хязгаарлалттай болохыг ил тод хүлээн зөвшөөрөх шаардлагатай. Нэгдүгээрт, шинжилгээ нь зөвхөн цалинтай ажилтнуудын түүверт үндэслэгдсэн тул өөрийн бизнес эрхлэгчид болон албан бус секторын ажилчдыг хамраагүй. Энэ нь β-г бага зэрэг дээш чиглэсэ</w:t>
      </w:r>
      <w:r>
        <w:t>н хазайлтад орох магадлалтай гэж үзэж болно — учир нь өндөр боловсролтой хэрнээ өөрийн бизнесээр доогуур цалинтай байгаа ажилтнууд түүвэрт хамрагдаагүй. Хекманы засвар нь энэ хазайлтыг статистикийн хувьд ач холбогдолгүй гэж баталсан боловч үүнийг бүрэн ари</w:t>
      </w:r>
      <w:r>
        <w:t>лгаж чадаагүй.</w:t>
      </w:r>
    </w:p>
    <w:p w14:paraId="11530EE9" w14:textId="77777777" w:rsidR="000B782D" w:rsidRDefault="0018275F">
      <w:pPr>
        <w:ind w:firstLine="567"/>
        <w:jc w:val="both"/>
      </w:pPr>
      <w:r>
        <w:t>Хоёрдугаарт, 2016 ба 2018 оны давалгаанд төрсөн аймгийн мэдээлэл байхгүй байсан тул үндсэн IV шинжилгээнд оруулж чадаагүй. Энэ нь түүврийн хэмжээг багасгаж стандарт алдааг өсгөж болох боловч коэффициентийн хазайлт үүсгэхгүй гэдгийг тогтворто</w:t>
      </w:r>
      <w:r>
        <w:t>й байдлын шинжилгээнд баталсан. Гуравдугаарт, боловсролын чанарын хувьсагч (шалгалтын оноо, сургуулийн нэр, мэргэжлийн ангилал) ӨНЭЗС-д байхгүй тул зөвхөн боловсролын жилийн тоог ашиглахаас өөр аргагүй байсан. Ур чадварын далд хазайлтыг хэрэгсэл хувьсагч х</w:t>
      </w:r>
      <w:r>
        <w:t>эсэгчлэн засч байгаа боловч чанарын дотоод хэмжлийн зөрөөг бүрэн барих боломжгүй. Дараагийн судалгаанд ӨНЭЗС-д боловсролын чанарын үзүүлэлт нэмэх нь эдгээр хязгаарлалтыг арилгах чухал алхам болно.</w:t>
      </w:r>
    </w:p>
    <w:p w14:paraId="3A6FAE6D" w14:textId="77777777" w:rsidR="000B782D" w:rsidRDefault="0018275F">
      <w:r>
        <w:br w:type="page"/>
      </w:r>
    </w:p>
    <w:p w14:paraId="698364C3" w14:textId="77777777" w:rsidR="000B782D" w:rsidRDefault="0018275F">
      <w:pPr>
        <w:pStyle w:val="Heading1"/>
        <w:spacing w:after="240"/>
      </w:pPr>
      <w:bookmarkStart w:id="23" w:name="_Toc227332441"/>
      <w:r>
        <w:rPr>
          <w:sz w:val="28"/>
        </w:rPr>
        <w:lastRenderedPageBreak/>
        <w:t>VI БҮЛЭГ. ДҮГНЭЛТ БА БОДЛОГЫН САНАЛ</w:t>
      </w:r>
      <w:bookmarkEnd w:id="23"/>
    </w:p>
    <w:p w14:paraId="70BD6C85" w14:textId="77777777" w:rsidR="000B782D" w:rsidRDefault="0018275F">
      <w:pPr>
        <w:pStyle w:val="Heading2"/>
        <w:spacing w:after="120"/>
      </w:pPr>
      <w:r>
        <w:t>6.1. Үндсэн дүгнэлт</w:t>
      </w:r>
    </w:p>
    <w:p w14:paraId="2DF928CC" w14:textId="77777777" w:rsidR="000B782D" w:rsidRDefault="0018275F">
      <w:pPr>
        <w:ind w:firstLine="567"/>
        <w:jc w:val="both"/>
      </w:pPr>
      <w:r>
        <w:t>Э</w:t>
      </w:r>
      <w:r>
        <w:t>нэхүү судалгаа нь Монгол Улс дахь боловсролын бодит өгөөжийг Caner–Hansen (2004)-ийн хэрэгсэл хувьсагчтай босготой регрессийн аргаар үнэлэн, гурван гол дүгнэлтэд хүрэв.</w:t>
      </w:r>
    </w:p>
    <w:p w14:paraId="4A9EE4F6" w14:textId="77777777" w:rsidR="000B782D" w:rsidRDefault="0018275F">
      <w:pPr>
        <w:ind w:firstLine="567"/>
        <w:jc w:val="both"/>
      </w:pPr>
      <w:r>
        <w:t>Нэгдүгээрт, Монгол Улс дахь боловсролын өгөөж шугаман бус, бүтцийн хугаралтай болохыг э</w:t>
      </w:r>
      <w:r>
        <w:t>мпирикээр тогтоов. OLS-ийн 6.8%-ийн дундаж үнэлгээ нь 13 жилийн босгоны хоёр талд орших ялгаатай регимүүдийн дундаж үр дүн байсан. Босгоноос доош 5.5%, босгоноос дээш 17.9% буюу 3.3 дахин их ялгаа нь Монголын хөдөлмөрийн зах зээлд дипломын нэмэгдэл үзэгдэл</w:t>
      </w:r>
      <w:r>
        <w:t xml:space="preserve"> оршин буйг эмпирикээр нотолж байна. Энэхүү олдвор нь Монгол Улс дахь анхны IVTR шинжилгээний үр дүн бөгөөд Jaeger ба Page (1996)-ийн "дипломын нэмэгдэл" онолыг Монгол нутгийн хөдөлмөрийн зах зээлд баталсан ажил болов.</w:t>
      </w:r>
    </w:p>
    <w:p w14:paraId="4CC29CD0" w14:textId="77777777" w:rsidR="000B782D" w:rsidRDefault="0018275F">
      <w:pPr>
        <w:ind w:firstLine="567"/>
        <w:jc w:val="both"/>
      </w:pPr>
      <w:r>
        <w:t>Хоёрдугаарт, эндогений хазайлтыг заса</w:t>
      </w:r>
      <w:r>
        <w:t>х нь үр дүнтэй бөгөөд мэдэгдэхүйц өөрчлөлтөд хүргэж байна. OLS-ийн 6.8%-аас 2SLS-ийн 11.3% хүртэлх өсөлт буюу 49%-ийн ялгаа нь хэмжилтийн алдаанаас үүдэлтэй доош чиглэсэн хазайлт нь ур чадварын хомсдлоос үүдэлтэй дээш чиглэсэн хазайлтаас давамгайлж байгааг</w:t>
      </w:r>
      <w:r>
        <w:t xml:space="preserve"> харуулж байна. Энэхүү дүгнэлт нь Card (1993)-ын Хойд Америкт хийсэн сонгодог үр дүнгийн Монгол Улсад хийгдсэн анхны баталгаажуулалт юм.</w:t>
      </w:r>
    </w:p>
    <w:p w14:paraId="6106C388" w14:textId="77777777" w:rsidR="000B782D" w:rsidRDefault="0018275F">
      <w:pPr>
        <w:ind w:firstLine="567"/>
        <w:jc w:val="both"/>
      </w:pPr>
      <w:r>
        <w:t>Гуравдугаарт, уг эмпирик олдвор нь боловсролын бодлогын хувьд ихээхэн ач холбогдолтой. Бүрэн дунд боловсролыг дуусгасна</w:t>
      </w:r>
      <w:r>
        <w:t xml:space="preserve">ас дээд боловсролд шилжих шилжилтийн цэгт тусгайлан хөрөнгө оруулалт хийх нь Монгол Улсын ажиллах хүчний чадамжийг дээшлүүлэхэд хамгийн өндөр эргэн төлөлттэй бодлогын арга хэрэгсэл болох магадлалтай. Түүнчлэн Даваажаргал ба Цолмон (2019)-ийн макро түвшний </w:t>
      </w:r>
      <w:r>
        <w:t>Threshold SVAR шинжилгээтэй хамт Монгол Улсад босго шинжилгээний эмпирик уламжлалыг бий болгож байгаа нь дараагийн судлаачдад шинэ боломжийг нээх юм.</w:t>
      </w:r>
    </w:p>
    <w:p w14:paraId="5B882ECB" w14:textId="77777777" w:rsidR="000B782D" w:rsidRDefault="0018275F">
      <w:pPr>
        <w:pStyle w:val="Heading2"/>
        <w:spacing w:after="120"/>
      </w:pPr>
      <w:r>
        <w:t>6.2. Бодлогын санал</w:t>
      </w:r>
    </w:p>
    <w:p w14:paraId="1277FB4A" w14:textId="77777777" w:rsidR="000B782D" w:rsidRDefault="0018275F">
      <w:pPr>
        <w:ind w:firstLine="567"/>
        <w:jc w:val="both"/>
      </w:pPr>
      <w:r>
        <w:t>Судалгааны эмпирик үр дүнд тулгуурлан Монгол Улсын боловсролын бодлого болон хөдөлмөри</w:t>
      </w:r>
      <w:r>
        <w:t>йн зах зээлийн зохицуулалтад хэрэгжүүлэх боломжтой гурван саналыг боловсруулав. Эдгээр нь IVTR-ын тоон үр дүнд суурилсан жишиг тооцоо бөгөөд цаашдын илүү нарийвчилсан тооцоог шаардана.</w:t>
      </w:r>
    </w:p>
    <w:p w14:paraId="1FEFFBAF" w14:textId="77777777" w:rsidR="000B782D" w:rsidRDefault="0018275F">
      <w:pPr>
        <w:ind w:firstLine="567"/>
        <w:jc w:val="both"/>
      </w:pPr>
      <w:r>
        <w:rPr>
          <w:b/>
        </w:rPr>
        <w:lastRenderedPageBreak/>
        <w:t xml:space="preserve">1) Дээд боловсролд хүрэх санхүүгийн саадыг бууруулах. </w:t>
      </w:r>
      <w:r>
        <w:t>Босгоноос дээш нэ</w:t>
      </w:r>
      <w:r>
        <w:t>г жилийн өгөөж 17.9% (доод регимээс 12.4 нэгж хувиар өндөр) гэсэн эмпирик тоон нотолгоонд тулгуурлан Засгийн газар оюутны зээл ба тэтгэлгийн нийлүүлэлтийг тэлэх нь хамгийн өндөр эргэн төлөлттэй бодлого болохыг нотолж байна. Тухайлбал, 3 жилийн бакалаврын с</w:t>
      </w:r>
      <w:r>
        <w:t>ургалт нь бодит ажил ахуйн үнэ цэнээр ойролцоогоор 37%-ийн цалингийн өсөлтийг үүсгэж болох жишиг тооцоо гарч байна. Хөдөөгийн амжилттай төгсөгчид дипломт боловсролд хамрагдах саадыг бууруулах хөтөлбөрийг хэрэгжүүлэх шаардлагатай.</w:t>
      </w:r>
    </w:p>
    <w:p w14:paraId="54972C15" w14:textId="77777777" w:rsidR="000B782D" w:rsidRDefault="0018275F">
      <w:pPr>
        <w:ind w:firstLine="567"/>
        <w:jc w:val="both"/>
      </w:pPr>
      <w:r>
        <w:rPr>
          <w:b/>
        </w:rPr>
        <w:t>2) Сумын ЕБС-ийн чанарын я</w:t>
      </w:r>
      <w:r>
        <w:rPr>
          <w:b/>
        </w:rPr>
        <w:t xml:space="preserve">лгааг бууруулах. </w:t>
      </w:r>
      <w:r>
        <w:t>Сумын ЕБС-ийн багш/сурагчийн харьцаа нь боловсролын гарцад хамгийн хүчтэй нөлөөтэй хэрэгсэл хувьсагч болсон (F = 110.02). Тиймээс уг харьцаа хангалтгүй буюу нэг багшид 30-аас дээш сурагч ногдож буй сумуудад багшийн цалин, мэргэшүүлэх сурга</w:t>
      </w:r>
      <w:r>
        <w:t>лт, дэд бүтцийн тусгай хөтөлбөр хэрэгжүүлэх нь хүмүүн капиталын хуримтлалд өндөр өгөөжтэй байх боломжтой. Сум бүрт 2-3 багш нэмэх нь 0.2-0.5 жилийн нэмэлт сургалтын хуримтлалыг үүсгэж 6-12%-ийн цалингийн өсөлтөд хүргэх магадлалтай (жишиг тооцоо).</w:t>
      </w:r>
    </w:p>
    <w:p w14:paraId="468314B8" w14:textId="77777777" w:rsidR="000B782D" w:rsidRDefault="0018275F">
      <w:pPr>
        <w:ind w:firstLine="567"/>
        <w:jc w:val="both"/>
      </w:pPr>
      <w:r>
        <w:rPr>
          <w:b/>
        </w:rPr>
        <w:t>3) ӨНЭЗС-</w:t>
      </w:r>
      <w:r>
        <w:rPr>
          <w:b/>
        </w:rPr>
        <w:t xml:space="preserve">ийн боловсролын мониторингийг шинэчлэх. </w:t>
      </w:r>
      <w:r>
        <w:t>ҮСХ-ны ӨНЭЗС-д дараах гурван шинэ хувьсагчийг нэмж оруулах нь дараагийн үеийн судалгааны боломжийг нээнэ: (а) ЭЕШ-ын оноо эсвэл боловсролын чанарын индикатор, (б) диплом олгосон сургуулийн нэр, (в) мэргэжлийн нарийвч</w:t>
      </w:r>
      <w:r>
        <w:t>илсан ангилал. Эдгээр мэдээллийн нэмэлт нь боловсролын чанарын нөлөөг зөвхөн жилийн тоогоор хэмжихийн оронд шууд үнэлэх, ЕБС ба их дээд сургуулиудыг чанараар харьцуулах эмпирик бааз суурийг бүрдүүлнэ.</w:t>
      </w:r>
    </w:p>
    <w:p w14:paraId="2DBEB0AF" w14:textId="77777777" w:rsidR="000B782D" w:rsidRDefault="0018275F">
      <w:pPr>
        <w:ind w:firstLine="567"/>
        <w:jc w:val="both"/>
      </w:pPr>
      <w:r>
        <w:t>Дүгнэвэл, Монгол Улсын боловсрол нь хөдөлмөрийн орлогод</w:t>
      </w:r>
      <w:r>
        <w:t xml:space="preserve"> эрс эерэг нөлөөтэй ч тэрхүү нөлөө нь боловсролын түвшинд жигд бус, 13 жилийн босгон дээр огцом үсрэлттэй. Ерөнхий боловсролоос дипломт боловсрол руу шилжих замд оршиж буй саадыг бууруулах, чанарын зөрүүг арилгах нь Монгол Улсын хүмүүн капиталын хуримтлалы</w:t>
      </w:r>
      <w:r>
        <w:t>н хамгийн өндөр эргэн төлөлттэй хөрөнгө оруулалт байж болох юм. Цаашдын судалгаанд боловсролын чанарын хэмжлийг нэмж, олон улсын харьцуулалтыг өргөжүүлэх нь энэхүү ажлын үргэлжлэл байж болно.</w:t>
      </w:r>
    </w:p>
    <w:p w14:paraId="078CFB40" w14:textId="77777777" w:rsidR="000B782D" w:rsidRDefault="0018275F">
      <w:r>
        <w:br w:type="page"/>
      </w:r>
    </w:p>
    <w:p w14:paraId="468F7947" w14:textId="77777777" w:rsidR="000B782D" w:rsidRDefault="0018275F">
      <w:pPr>
        <w:pStyle w:val="Heading1"/>
        <w:spacing w:after="240"/>
      </w:pPr>
      <w:bookmarkStart w:id="24" w:name="_Toc227332442"/>
      <w:r>
        <w:rPr>
          <w:sz w:val="28"/>
        </w:rPr>
        <w:lastRenderedPageBreak/>
        <w:t>НОМ ЗҮЙ</w:t>
      </w:r>
      <w:bookmarkEnd w:id="24"/>
    </w:p>
    <w:p w14:paraId="092C6706" w14:textId="77777777" w:rsidR="000B782D" w:rsidRDefault="0018275F">
      <w:pPr>
        <w:spacing w:before="60" w:line="276" w:lineRule="auto"/>
        <w:ind w:left="709" w:hanging="709"/>
        <w:jc w:val="both"/>
      </w:pPr>
      <w:r>
        <w:rPr>
          <w:sz w:val="22"/>
        </w:rPr>
        <w:t xml:space="preserve">Becker, G. S. (1964). </w:t>
      </w:r>
      <w:r>
        <w:rPr>
          <w:i/>
          <w:sz w:val="22"/>
        </w:rPr>
        <w:t>Human capital: A theoretical and</w:t>
      </w:r>
      <w:r>
        <w:rPr>
          <w:i/>
          <w:sz w:val="22"/>
        </w:rPr>
        <w:t xml:space="preserve"> empirical analysis with special reference to education</w:t>
      </w:r>
      <w:r>
        <w:rPr>
          <w:sz w:val="22"/>
        </w:rPr>
        <w:t>. National Bureau of Economic Research.</w:t>
      </w:r>
    </w:p>
    <w:p w14:paraId="0778F69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w:t>
      </w:r>
      <w:r>
        <w:rPr>
          <w:sz w:val="22"/>
        </w:rPr>
        <w:t xml:space="preserve">Survey. </w:t>
      </w:r>
      <w:r>
        <w:rPr>
          <w:i/>
          <w:sz w:val="22"/>
        </w:rPr>
        <w:t>Journal of the Royal Statistical Society: Series A</w:t>
      </w:r>
      <w:r>
        <w:rPr>
          <w:sz w:val="22"/>
        </w:rPr>
        <w:t>, 168(3), 473–512.</w:t>
      </w:r>
    </w:p>
    <w:p w14:paraId="46980B04"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1EB7956" w14:textId="77777777" w:rsidR="000B782D" w:rsidRDefault="0018275F">
      <w:pPr>
        <w:spacing w:before="60" w:line="276" w:lineRule="auto"/>
        <w:ind w:left="709" w:hanging="709"/>
        <w:jc w:val="both"/>
      </w:pPr>
      <w:r>
        <w:rPr>
          <w:sz w:val="22"/>
        </w:rPr>
        <w:t xml:space="preserve">Card, D. (1993). </w:t>
      </w:r>
      <w:r>
        <w:rPr>
          <w:i/>
          <w:sz w:val="22"/>
        </w:rPr>
        <w:t>Using geographic variation in colleg</w:t>
      </w:r>
      <w:r>
        <w:rPr>
          <w:i/>
          <w:sz w:val="22"/>
        </w:rPr>
        <w:t>e proximity to estimate the return to schooling</w:t>
      </w:r>
      <w:r>
        <w:rPr>
          <w:sz w:val="22"/>
        </w:rPr>
        <w:t xml:space="preserve"> (NBER Working Paper No. 4483). National Bureau of Economic Research.</w:t>
      </w:r>
    </w:p>
    <w:p w14:paraId="519AACC3"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35E28A7C"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4EE7822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277DF9E"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6BCA69A4"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xml:space="preserve">, 30(1–2), </w:t>
      </w:r>
      <w:r>
        <w:rPr>
          <w:sz w:val="22"/>
        </w:rPr>
        <w:t>109–126.</w:t>
      </w:r>
    </w:p>
    <w:p w14:paraId="4F43B01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2C7316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w:t>
      </w:r>
      <w:r>
        <w:rPr>
          <w:i/>
          <w:sz w:val="22"/>
        </w:rPr>
        <w:t>conometrica</w:t>
      </w:r>
      <w:r>
        <w:rPr>
          <w:sz w:val="22"/>
        </w:rPr>
        <w:t>, 68(3), 575–603.</w:t>
      </w:r>
    </w:p>
    <w:p w14:paraId="5EBF2E75"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7662A06"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55671B1E" w14:textId="77777777" w:rsidR="000B782D" w:rsidRDefault="0018275F">
      <w:pPr>
        <w:spacing w:before="60" w:line="276" w:lineRule="auto"/>
        <w:ind w:left="709" w:hanging="709"/>
        <w:jc w:val="both"/>
      </w:pPr>
      <w:r>
        <w:rPr>
          <w:sz w:val="22"/>
        </w:rPr>
        <w:t xml:space="preserve">IMF. (2023). </w:t>
      </w:r>
      <w:r>
        <w:rPr>
          <w:i/>
          <w:sz w:val="22"/>
        </w:rPr>
        <w:t>Mong</w:t>
      </w:r>
      <w:r>
        <w:rPr>
          <w:i/>
          <w:sz w:val="22"/>
        </w:rPr>
        <w:t>olia: 2023 Article IV consultation</w:t>
      </w:r>
      <w:r>
        <w:rPr>
          <w:sz w:val="22"/>
        </w:rPr>
        <w:t xml:space="preserve"> (IMF Country Report No. 23/348). International Monetary Fund.</w:t>
      </w:r>
    </w:p>
    <w:p w14:paraId="6F884029" w14:textId="77777777" w:rsidR="000B782D" w:rsidRDefault="0018275F">
      <w:pPr>
        <w:spacing w:before="60" w:line="276" w:lineRule="auto"/>
        <w:ind w:left="709" w:hanging="709"/>
        <w:jc w:val="both"/>
      </w:pPr>
      <w:r>
        <w:rPr>
          <w:sz w:val="22"/>
        </w:rPr>
        <w:t xml:space="preserve">Jaeger, D. A., &amp; Page, M. E. (1996). Degrees matter: New evidence on sheepskin effects in the returns to education. </w:t>
      </w:r>
      <w:r>
        <w:rPr>
          <w:i/>
          <w:sz w:val="22"/>
        </w:rPr>
        <w:t>Review of Economics and Statistics</w:t>
      </w:r>
      <w:r>
        <w:rPr>
          <w:sz w:val="22"/>
        </w:rPr>
        <w:t xml:space="preserve">, 78(4), </w:t>
      </w:r>
      <w:r>
        <w:rPr>
          <w:sz w:val="22"/>
        </w:rPr>
        <w:t>733–740.</w:t>
      </w:r>
    </w:p>
    <w:p w14:paraId="5912652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1C021A0"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w:t>
      </w:r>
      <w:r>
        <w:rPr>
          <w:i/>
          <w:sz w:val="22"/>
        </w:rPr>
        <w:t>taff Papers</w:t>
      </w:r>
      <w:r>
        <w:rPr>
          <w:sz w:val="22"/>
        </w:rPr>
        <w:t>, 48(1), 1–21.</w:t>
      </w:r>
    </w:p>
    <w:p w14:paraId="32D6CC65"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756C0D4A"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4D46BE7A"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2E062C0F"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w:t>
      </w:r>
      <w:r>
        <w:rPr>
          <w:i/>
          <w:sz w:val="22"/>
        </w:rPr>
        <w:t>ics</w:t>
      </w:r>
      <w:r>
        <w:rPr>
          <w:sz w:val="22"/>
        </w:rPr>
        <w:t>, 26(5), 445–458.</w:t>
      </w:r>
    </w:p>
    <w:p w14:paraId="3DD4F7D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2E34DC62"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3CF756F2" w14:textId="77777777" w:rsidR="000B782D" w:rsidRDefault="0018275F">
      <w:pPr>
        <w:spacing w:before="60" w:line="276" w:lineRule="auto"/>
        <w:ind w:left="709" w:hanging="709"/>
        <w:jc w:val="both"/>
      </w:pPr>
      <w:r>
        <w:rPr>
          <w:sz w:val="22"/>
        </w:rPr>
        <w:t>Staiger, D., &amp; Stock, J. H. (1997). Instrumental variab</w:t>
      </w:r>
      <w:r>
        <w:rPr>
          <w:sz w:val="22"/>
        </w:rPr>
        <w:t xml:space="preserve">les regression with weak instruments. </w:t>
      </w:r>
      <w:r>
        <w:rPr>
          <w:i/>
          <w:sz w:val="22"/>
        </w:rPr>
        <w:t>Econometrica</w:t>
      </w:r>
      <w:r>
        <w:rPr>
          <w:sz w:val="22"/>
        </w:rPr>
        <w:t>, 65(3), 557–586.</w:t>
      </w:r>
    </w:p>
    <w:p w14:paraId="77CF565B"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w:t>
      </w:r>
      <w:r>
        <w:rPr>
          <w:sz w:val="22"/>
        </w:rPr>
        <w:t>–108). Cambridge University Press.</w:t>
      </w:r>
    </w:p>
    <w:p w14:paraId="6830D618"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34924C6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6B8AFF82"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xml:space="preserve">. УСХ. </w:t>
      </w:r>
      <w:r>
        <w:rPr>
          <w:sz w:val="22"/>
        </w:rPr>
        <w:t>https://data.1212.mn</w:t>
      </w:r>
    </w:p>
    <w:p w14:paraId="4E791F7A" w14:textId="77777777" w:rsidR="000B782D" w:rsidRDefault="0018275F">
      <w:r>
        <w:br w:type="page"/>
      </w:r>
    </w:p>
    <w:p w14:paraId="17B971E6" w14:textId="77777777" w:rsidR="000B782D" w:rsidRDefault="0018275F">
      <w:pPr>
        <w:pStyle w:val="Heading1"/>
        <w:spacing w:after="240"/>
      </w:pPr>
      <w:bookmarkStart w:id="25" w:name="_Toc227332443"/>
      <w:r>
        <w:rPr>
          <w:sz w:val="28"/>
        </w:rPr>
        <w:lastRenderedPageBreak/>
        <w:t>ХАВСРАЛТ</w:t>
      </w:r>
      <w:bookmarkEnd w:id="25"/>
    </w:p>
    <w:p w14:paraId="40535195" w14:textId="77777777" w:rsidR="000B782D" w:rsidRDefault="0018275F">
      <w:pPr>
        <w:pStyle w:val="Heading2"/>
        <w:spacing w:after="120"/>
      </w:pPr>
      <w:r>
        <w:t>Хавсралт А. Альтернатив босго утгууд</w:t>
      </w:r>
    </w:p>
    <w:p w14:paraId="576D907A" w14:textId="77777777" w:rsidR="000B782D" w:rsidRDefault="0018275F">
      <w:pPr>
        <w:ind w:firstLine="567"/>
        <w:jc w:val="both"/>
      </w:pPr>
      <w:r>
        <w:t xml:space="preserve">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w:t>
      </w:r>
      <w:r>
        <w:t>сонгоно. Дараах хүснэгтэд альтернатив утгуудын үр дүнг харьцуулан танилцуулав.</w:t>
      </w:r>
    </w:p>
    <w:p w14:paraId="214C7FE0" w14:textId="77777777" w:rsidR="000B782D" w:rsidRDefault="0018275F">
      <w:pPr>
        <w:spacing w:before="240" w:after="60" w:line="276" w:lineRule="auto"/>
      </w:pPr>
      <w:bookmarkStart w:id="26" w:name="Tbl_А_1"/>
      <w:r>
        <w:rPr>
          <w:b/>
          <w:sz w:val="22"/>
        </w:rPr>
        <w:t xml:space="preserve">Хүснэгт А.1  </w:t>
      </w:r>
      <w:r>
        <w:rPr>
          <w:i/>
          <w:sz w:val="22"/>
        </w:rPr>
        <w:t>Альтернатив босго утгуудын үр дүн</w:t>
      </w:r>
      <w:bookmarkEnd w:id="26"/>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A24DD1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ED268E7"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90F260F"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33D38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45F5B3"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EF94D8"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2DDA85" w14:textId="77777777" w:rsidR="000B782D" w:rsidRDefault="0018275F">
            <w:pPr>
              <w:spacing w:before="40" w:after="40" w:line="276" w:lineRule="auto"/>
              <w:jc w:val="center"/>
            </w:pPr>
            <w:r>
              <w:rPr>
                <w:b/>
                <w:sz w:val="20"/>
              </w:rPr>
              <w:t>Ялгаа</w:t>
            </w:r>
          </w:p>
        </w:tc>
      </w:tr>
      <w:tr w:rsidR="000B782D" w14:paraId="33119F6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3419C6A"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371A74A3"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CF95ADF"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551FE5B1"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43BB987C"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ED59714" w14:textId="77777777" w:rsidR="000B782D" w:rsidRDefault="0018275F">
            <w:pPr>
              <w:spacing w:before="40" w:after="40" w:line="276" w:lineRule="auto"/>
              <w:jc w:val="right"/>
            </w:pPr>
            <w:r>
              <w:rPr>
                <w:sz w:val="20"/>
              </w:rPr>
              <w:t>11.0</w:t>
            </w:r>
          </w:p>
        </w:tc>
      </w:tr>
      <w:tr w:rsidR="000B782D" w14:paraId="7491D9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61DE52D" w14:textId="77777777" w:rsidR="000B782D" w:rsidRDefault="0018275F">
            <w:pPr>
              <w:spacing w:before="40" w:after="40" w:line="276" w:lineRule="auto"/>
            </w:pPr>
            <w:r>
              <w:rPr>
                <w:sz w:val="20"/>
              </w:rPr>
              <w:t xml:space="preserve">13 </w:t>
            </w:r>
            <w:r>
              <w:rPr>
                <w:sz w:val="20"/>
              </w:rPr>
              <w:t>(сонгогдсон)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DBB41"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5602A"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4B703E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5C1D63D2"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6E8B6440" w14:textId="77777777" w:rsidR="000B782D" w:rsidRDefault="0018275F">
            <w:pPr>
              <w:spacing w:before="40" w:after="40" w:line="276" w:lineRule="auto"/>
              <w:jc w:val="right"/>
            </w:pPr>
            <w:r>
              <w:rPr>
                <w:sz w:val="20"/>
              </w:rPr>
              <w:t>12.4</w:t>
            </w:r>
          </w:p>
        </w:tc>
      </w:tr>
      <w:tr w:rsidR="000B782D" w14:paraId="2093CFF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A5F1135"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4C23DAB8"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168AB517"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6251EA93"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7BA1049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6B39B9A5" w14:textId="77777777" w:rsidR="000B782D" w:rsidRDefault="0018275F">
            <w:pPr>
              <w:spacing w:before="40" w:after="40" w:line="276" w:lineRule="auto"/>
              <w:jc w:val="right"/>
            </w:pPr>
            <w:r>
              <w:rPr>
                <w:sz w:val="20"/>
              </w:rPr>
              <w:t>11.1</w:t>
            </w:r>
          </w:p>
        </w:tc>
      </w:tr>
    </w:tbl>
    <w:p w14:paraId="619E65FC" w14:textId="77777777" w:rsidR="000B782D" w:rsidRDefault="0018275F">
      <w:pPr>
        <w:spacing w:before="60" w:after="240" w:line="276" w:lineRule="auto"/>
        <w:jc w:val="right"/>
      </w:pPr>
      <w:r>
        <w:rPr>
          <w:i/>
          <w:sz w:val="20"/>
        </w:rPr>
        <w:t>Эх сурвалж: Оюутны тооцоолол</w:t>
      </w:r>
    </w:p>
    <w:p w14:paraId="14BB6F48" w14:textId="77777777" w:rsidR="000B782D" w:rsidRDefault="0018275F">
      <w:pPr>
        <w:pStyle w:val="Heading2"/>
        <w:spacing w:after="120"/>
      </w:pPr>
      <w:r>
        <w:t>Хавсралт Б. 1212.mn нээлттэй өгөгдлийн бүтэц</w:t>
      </w:r>
    </w:p>
    <w:p w14:paraId="75A8E4DC" w14:textId="77777777" w:rsidR="000B782D" w:rsidRDefault="0018275F">
      <w:pPr>
        <w:ind w:firstLine="567"/>
        <w:jc w:val="both"/>
      </w:pPr>
      <w:r>
        <w:t xml:space="preserve">Хэрэгсэл хувьсагч Z₃ (сумын ЕБС-ийн багш/сурагчийн харьцаа)-г бүтээхэд дараах гурван хүснэгтийг </w:t>
      </w:r>
      <w:r>
        <w:t>Үндэсний статистикийн хорооны PX-Web JSON API-аас татав:</w:t>
      </w:r>
    </w:p>
    <w:p w14:paraId="6B60C59A" w14:textId="77777777" w:rsidR="000B782D" w:rsidRDefault="0018275F">
      <w:pPr>
        <w:spacing w:before="60" w:after="60"/>
        <w:ind w:left="709" w:hanging="283"/>
        <w:jc w:val="both"/>
      </w:pPr>
      <w:r>
        <w:t>— DT_NSO_2001_001V1 — Сумын ЕБС-ийн тоо 2000–2024.</w:t>
      </w:r>
    </w:p>
    <w:p w14:paraId="7A89A48C" w14:textId="77777777" w:rsidR="000B782D" w:rsidRDefault="0018275F">
      <w:pPr>
        <w:spacing w:before="60" w:after="60"/>
        <w:ind w:left="709" w:hanging="283"/>
        <w:jc w:val="both"/>
      </w:pPr>
      <w:r>
        <w:t>— DT_NSO_2001_002V1 — Сумын ЕБС-ийн багшийн тоо 2000–2024.</w:t>
      </w:r>
    </w:p>
    <w:p w14:paraId="0D7A7597" w14:textId="77777777" w:rsidR="000B782D" w:rsidRDefault="0018275F">
      <w:pPr>
        <w:spacing w:before="60" w:after="60"/>
        <w:ind w:left="709" w:hanging="283"/>
        <w:jc w:val="both"/>
      </w:pPr>
      <w:r>
        <w:t>— DT_NSO_2001_004V1 — Сумын ЕБС-ийн сурагчийн тоо 2000–2024.</w:t>
      </w:r>
    </w:p>
    <w:p w14:paraId="2DFDD688" w14:textId="77777777" w:rsidR="000B782D" w:rsidRDefault="0018275F">
      <w:pPr>
        <w:ind w:firstLine="567"/>
        <w:jc w:val="both"/>
      </w:pPr>
      <w:r>
        <w:t>Нийт 572 сум-жилийн ажиглалт</w:t>
      </w:r>
      <w:r>
        <w:t>ыг нэгтгэн ӨНЭЗС-ийн хариулагчдын 12 настай байх жил, төрсөн сумтай холбон merge хийв.</w:t>
      </w:r>
    </w:p>
    <w:p w14:paraId="7E1BED7A" w14:textId="77777777" w:rsidR="000B782D" w:rsidRDefault="0018275F">
      <w:pPr>
        <w:pStyle w:val="Heading2"/>
        <w:spacing w:after="120"/>
      </w:pPr>
      <w:r>
        <w:t>Хавсралт В. Программ хангамжийн код</w:t>
      </w:r>
    </w:p>
    <w:p w14:paraId="10726BDE" w14:textId="77777777" w:rsidR="000B782D" w:rsidRDefault="0018275F">
      <w:pPr>
        <w:ind w:firstLine="567"/>
        <w:jc w:val="both"/>
      </w:pPr>
      <w:r>
        <w:t>Бүх шинжилгээг R 4.4.3 дээр хийв. Үндсэн багцууд: fixest 0.11.2 (FE, 2SLS, кластер SE, Kleibergen-Paap F); plm 2.6-4 (Панел FE/RE + Х</w:t>
      </w:r>
      <w:r>
        <w:t>аусманы тест); AER 1.2-12 (IV cross-check); data.table 1.15.4 (Өгөгдлийн хэрэгсэл); haven 2.5.4 (SPSS файлыг унших); ggplot2 3.5.1 (Зурагжуулалт). Python-оор хийсэн хөндлөнгийн шалгалтанд pandas 2.2, linearmodels 6.0, statsmodels 0.14 ашиглав. Caner–Hansen</w:t>
      </w:r>
      <w:r>
        <w:t xml:space="preserve"> IVTR-ын гараар хэрэгжүүлэлт 05_ivtr_caner_hansen.R скриптэд 180 орчим мөрт хэмжээтэй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731F0" w14:textId="77777777" w:rsidR="0018275F" w:rsidRDefault="0018275F">
      <w:pPr>
        <w:spacing w:before="0" w:after="0" w:line="240" w:lineRule="auto"/>
      </w:pPr>
      <w:r>
        <w:separator/>
      </w:r>
    </w:p>
  </w:endnote>
  <w:endnote w:type="continuationSeparator" w:id="0">
    <w:p w14:paraId="01A58BAA" w14:textId="77777777" w:rsidR="0018275F" w:rsidRDefault="001827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D99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E3C3" w14:textId="77777777" w:rsidR="0018275F" w:rsidRDefault="0018275F">
      <w:pPr>
        <w:spacing w:before="0" w:after="0" w:line="240" w:lineRule="auto"/>
      </w:pPr>
      <w:r>
        <w:separator/>
      </w:r>
    </w:p>
  </w:footnote>
  <w:footnote w:type="continuationSeparator" w:id="0">
    <w:p w14:paraId="73ABF059" w14:textId="77777777" w:rsidR="0018275F" w:rsidRDefault="001827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68C3"/>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8839</Words>
  <Characters>50386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4</cp:revision>
  <dcterms:created xsi:type="dcterms:W3CDTF">2026-04-17T03:55:00Z</dcterms:created>
  <dcterms:modified xsi:type="dcterms:W3CDTF">2026-04-17T08:32:00Z</dcterms:modified>
</cp:coreProperties>
</file>