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хүрээтэй wage sample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wage sample-ээс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parent education IV sample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parent education IV sample-ээс сургуулийн орчны босго хувьсагч бүрэн тооцогдсон ажиглалтыг үлдээхэд 3,188 ажиглалт бүхий final IVTR threshold sample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t>3.3. Үндсэн хувьсагчдын тодорхойлолт</w:t>
      </w:r>
    </w:p>
    <w:p w14:paraId="265086B9" w14:textId="77777777" w:rsidR="00972FBE" w:rsidRDefault="00D33DC4">
      <w:pPr>
        <w:pStyle w:val="Heading2"/>
      </w:pPr>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w:t>
      </w:r>
    </w:p>
    <w:p w14:paraId="7A4D356E" w14:textId="77777777" w:rsidR="00972FBE" w:rsidRDefault="00D33DC4">
      <w:r>
        <w:t>Эцэг, эхийн боловсролын дундаж нь энэ судалгааны хэрэгсэл хувьсагч юм. Хэрэв эцэг, эхийн аль алиных нь боловсрол ажиглагдвал тэдгээрийн дунджийг авна. Хэрэв зөвхөн нэг эцэг эсвэл эхийн боловсрол ажиглагдвал тухайн ажиглагдсан утгыг ашиглана. Харин аль аль нь ажиглагдахгүй бол тухайн ажиллагч хэрэгсэл хувьсагчтай шинжилгээнд орохгүй.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wage sample, parent education IV sample болон final IVTR sample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roster</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wage sample</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Parent education IV sample</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wage earners</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cohort, wave, controls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IV validation sample</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Final IVTR threshold sample</w:t>
            </w:r>
          </w:p>
        </w:tc>
        <w:tc>
          <w:tcPr>
            <w:tcW w:w="850" w:type="dxa"/>
            <w:tcBorders>
              <w:top w:val="single" w:sz="4" w:space="0" w:color="000000"/>
              <w:left w:val="single" w:sz="4" w:space="0" w:color="000000"/>
              <w:bottom w:val="single" w:sz="4" w:space="0" w:color="000000"/>
              <w:right w:val="single" w:sz="4" w:space="0" w:color="000000"/>
            </w:tcBorders>
            <w:vAlign w:val="center"/>
          </w:tcPr>
          <w:p>
            <w:r>
              <w:t>Parent-IV sample-ээс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Final IVTR sample</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Wage sample ба IVTR sample</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Parent-IV ба IVTR sample</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exclusion restriction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IV</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Final IVTR sample</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Threshold</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Controls</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Fixed effects</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Weight</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wage earners-ийн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IVTR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wage sample-ийн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