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C98B7" w14:textId="77777777" w:rsidR="00020E13" w:rsidRPr="000A6EA8" w:rsidRDefault="00020E13" w:rsidP="00020E13">
      <w:pPr>
        <w:spacing w:before="12" w:after="12"/>
        <w:ind w:right="5"/>
        <w:jc w:val="both"/>
        <w:rPr>
          <w:b/>
          <w:noProof/>
          <w:color w:val="000000"/>
        </w:rPr>
      </w:pPr>
    </w:p>
    <w:p w14:paraId="2BDB845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1F6FD73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209F3C62"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7DC3D51"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7290B5D"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CA5DECD"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02614D98"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9EA8214"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648D2C81"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16F14FA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2892D4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39BE44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673909F5" w14:textId="77777777" w:rsidTr="0020015E">
        <w:tc>
          <w:tcPr>
            <w:tcW w:w="3018" w:type="dxa"/>
          </w:tcPr>
          <w:p w14:paraId="2E922515"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37A55891"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5D43868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8C7FFA"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63163D42"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3E7594A3" w14:textId="77777777" w:rsidTr="0020015E">
        <w:tc>
          <w:tcPr>
            <w:tcW w:w="3018" w:type="dxa"/>
          </w:tcPr>
          <w:p w14:paraId="123FEBF3" w14:textId="77777777" w:rsidR="004E014E" w:rsidRPr="000A6EA8" w:rsidRDefault="004E014E" w:rsidP="004E014E">
            <w:pPr>
              <w:spacing w:before="12" w:after="12"/>
              <w:ind w:right="5"/>
              <w:jc w:val="both"/>
              <w:rPr>
                <w:bCs/>
                <w:i/>
                <w:iCs/>
                <w:noProof/>
                <w:color w:val="000000"/>
                <w:lang w:val="mn-MN"/>
              </w:rPr>
            </w:pPr>
          </w:p>
        </w:tc>
        <w:tc>
          <w:tcPr>
            <w:tcW w:w="1093" w:type="dxa"/>
          </w:tcPr>
          <w:p w14:paraId="394B8AFD" w14:textId="77777777" w:rsidR="004E014E" w:rsidRPr="000A6EA8" w:rsidRDefault="004E014E" w:rsidP="004E014E">
            <w:pPr>
              <w:spacing w:before="12" w:after="12"/>
              <w:ind w:right="5"/>
              <w:jc w:val="both"/>
              <w:rPr>
                <w:bCs/>
                <w:i/>
                <w:iCs/>
                <w:noProof/>
                <w:color w:val="000000"/>
                <w:lang w:val="mn-MN"/>
              </w:rPr>
            </w:pPr>
          </w:p>
        </w:tc>
        <w:tc>
          <w:tcPr>
            <w:tcW w:w="4944" w:type="dxa"/>
          </w:tcPr>
          <w:p w14:paraId="221FF137" w14:textId="77777777" w:rsidR="004E014E" w:rsidRPr="00F661F4" w:rsidRDefault="00F44A9E"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0F3AA472" w14:textId="77777777" w:rsidTr="0020015E">
        <w:tc>
          <w:tcPr>
            <w:tcW w:w="3018" w:type="dxa"/>
          </w:tcPr>
          <w:p w14:paraId="3FD3F9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226A76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FEFD7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25B8B82A" w14:textId="77777777" w:rsidTr="0020015E">
        <w:tc>
          <w:tcPr>
            <w:tcW w:w="3018" w:type="dxa"/>
          </w:tcPr>
          <w:p w14:paraId="57C34FA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7AD29F6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39993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6A16E8EC" w14:textId="77777777" w:rsidTr="0020015E">
        <w:tc>
          <w:tcPr>
            <w:tcW w:w="3018" w:type="dxa"/>
          </w:tcPr>
          <w:p w14:paraId="3A7DF89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B701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0C1E910"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D342024" w14:textId="77777777" w:rsidTr="0020015E">
        <w:tc>
          <w:tcPr>
            <w:tcW w:w="3018" w:type="dxa"/>
          </w:tcPr>
          <w:p w14:paraId="0BF284F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1E3F2C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0E5066B"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21BC7B4D" w14:textId="77777777" w:rsidTr="0020015E">
        <w:tc>
          <w:tcPr>
            <w:tcW w:w="3018" w:type="dxa"/>
          </w:tcPr>
          <w:p w14:paraId="53C20D2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7F3F3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AAA48EC" w14:textId="77777777" w:rsidR="004E014E" w:rsidRPr="000A6EA8" w:rsidRDefault="004E014E" w:rsidP="004E014E">
            <w:pPr>
              <w:spacing w:before="12" w:after="12"/>
              <w:ind w:right="5"/>
              <w:jc w:val="both"/>
              <w:rPr>
                <w:rFonts w:cs="Times New Roman"/>
              </w:rPr>
            </w:pPr>
          </w:p>
        </w:tc>
      </w:tr>
      <w:tr w:rsidR="004E014E" w:rsidRPr="000A6EA8" w14:paraId="0DE9C164" w14:textId="77777777" w:rsidTr="0020015E">
        <w:tc>
          <w:tcPr>
            <w:tcW w:w="3018" w:type="dxa"/>
          </w:tcPr>
          <w:p w14:paraId="56D2EC3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BD29D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FADC7F"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60C7B7CE" w14:textId="77777777" w:rsidTr="0020015E">
        <w:tc>
          <w:tcPr>
            <w:tcW w:w="3018" w:type="dxa"/>
          </w:tcPr>
          <w:p w14:paraId="5BACD73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0C95A8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A2EF6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D3709D" w14:textId="77777777" w:rsidTr="0020015E">
        <w:tc>
          <w:tcPr>
            <w:tcW w:w="3018" w:type="dxa"/>
          </w:tcPr>
          <w:p w14:paraId="68E3552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472BB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964BDD5"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2D64BE3A" w14:textId="77777777" w:rsidTr="0020015E">
        <w:tc>
          <w:tcPr>
            <w:tcW w:w="3018" w:type="dxa"/>
          </w:tcPr>
          <w:p w14:paraId="429427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8CAAB5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21C292F" w14:textId="77777777" w:rsidR="004E014E" w:rsidRPr="000A6EA8" w:rsidRDefault="004E014E" w:rsidP="004E014E">
            <w:pPr>
              <w:spacing w:before="12" w:after="12"/>
              <w:ind w:right="5"/>
              <w:jc w:val="both"/>
              <w:rPr>
                <w:rFonts w:cs="Times New Roman"/>
              </w:rPr>
            </w:pPr>
          </w:p>
        </w:tc>
      </w:tr>
      <w:tr w:rsidR="004E014E" w:rsidRPr="000A6EA8" w14:paraId="55170F2C" w14:textId="77777777" w:rsidTr="0020015E">
        <w:tc>
          <w:tcPr>
            <w:tcW w:w="3018" w:type="dxa"/>
          </w:tcPr>
          <w:p w14:paraId="0CE27BD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7B650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8411D8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348C0800" w14:textId="77777777" w:rsidTr="0020015E">
        <w:tc>
          <w:tcPr>
            <w:tcW w:w="3018" w:type="dxa"/>
          </w:tcPr>
          <w:p w14:paraId="70ADF5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CA5C80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EF693A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5260098" w14:textId="77777777" w:rsidTr="0020015E">
        <w:tc>
          <w:tcPr>
            <w:tcW w:w="3018" w:type="dxa"/>
          </w:tcPr>
          <w:p w14:paraId="7B1BAB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954D0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DBA0A32"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DF1BEA7" w14:textId="77777777" w:rsidR="0050713E" w:rsidRDefault="0050713E" w:rsidP="006B57EB">
      <w:pPr>
        <w:spacing w:before="12" w:after="12"/>
        <w:ind w:right="5"/>
        <w:rPr>
          <w:bCs/>
          <w:noProof/>
          <w:color w:val="000000"/>
          <w:lang w:val="mn-MN"/>
        </w:rPr>
      </w:pPr>
    </w:p>
    <w:p w14:paraId="4E2BFB30"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08503735" w14:textId="77777777" w:rsidR="000B782D" w:rsidRDefault="000B782D"/>
    <w:p w14:paraId="0862ACC5" w14:textId="77777777" w:rsidR="00BE47A5" w:rsidRDefault="00BE47A5"/>
    <w:p w14:paraId="4C8AC41A"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0291FEAD" w14:textId="77777777" w:rsidR="00BE47A5" w:rsidRDefault="00BE47A5">
          <w:pPr>
            <w:pStyle w:val="TOCHeading"/>
          </w:pPr>
          <w:r>
            <w:t>Contents</w:t>
          </w:r>
        </w:p>
        <w:p w14:paraId="35E3F589"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054F5594"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4F92B9D9"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4AF0A4AE"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0CEA81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B82601B"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73AD9BF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66460AE1"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281C4F27"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611556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0AB187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7B5281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5BD08E5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6AF09297"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2A348A8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3CB3A853"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534D49F9"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71BBCC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E263100"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7A32BFD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07F76C9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3A0D6E2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048198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908027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235398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5919B6D4"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4A87D25C"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79DEA1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602B3A7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756DEE12"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15530D65"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2E35A20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5A9695B4" w14:textId="77777777" w:rsidR="00BE47A5" w:rsidRDefault="00BE47A5">
          <w:r>
            <w:rPr>
              <w:b/>
              <w:bCs/>
              <w:noProof/>
            </w:rPr>
            <w:fldChar w:fldCharType="end"/>
          </w:r>
        </w:p>
      </w:sdtContent>
    </w:sdt>
    <w:p w14:paraId="5DF9F115" w14:textId="77777777" w:rsidR="00BE47A5" w:rsidRDefault="00BE47A5">
      <w:r>
        <w:br w:type="page"/>
      </w:r>
    </w:p>
    <w:p w14:paraId="58A29289"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6FDC7ECA"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78F8F03C"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1251A8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07772960"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017AFF2D"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669C224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0EDBAD1D"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1C8CF86B" w14:textId="77777777" w:rsidR="000B782D" w:rsidRDefault="0018275F">
      <w:r>
        <w:br w:type="page"/>
      </w:r>
    </w:p>
    <w:p w14:paraId="6722F444"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4301B4E9"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3386312D"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E195FB8"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6E79DD8C"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54353D8B"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1986D6BD" w14:textId="77777777" w:rsidR="000B782D" w:rsidRDefault="0018275F">
      <w:r>
        <w:br w:type="page"/>
      </w:r>
    </w:p>
    <w:p w14:paraId="64E8D0F2"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52A4CE45"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47FBEE68" w14:textId="77777777" w:rsidTr="00BE47A5">
        <w:trPr>
          <w:jc w:val="center"/>
        </w:trPr>
        <w:tc>
          <w:tcPr>
            <w:tcW w:w="1701" w:type="dxa"/>
            <w:shd w:val="clear" w:color="auto" w:fill="DDDDDD"/>
            <w:vAlign w:val="center"/>
          </w:tcPr>
          <w:p w14:paraId="178A1EA9"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28C6FAF5"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7496605E" w14:textId="77777777" w:rsidR="000B782D" w:rsidRDefault="0018275F">
            <w:pPr>
              <w:spacing w:before="40" w:after="40" w:line="276" w:lineRule="auto"/>
              <w:jc w:val="center"/>
            </w:pPr>
            <w:r>
              <w:rPr>
                <w:b/>
              </w:rPr>
              <w:t>Монгол нэр</w:t>
            </w:r>
          </w:p>
        </w:tc>
      </w:tr>
      <w:tr w:rsidR="00972FBE" w14:paraId="7219C743" w14:textId="77777777" w:rsidTr="00BE47A5">
        <w:trPr>
          <w:jc w:val="center"/>
        </w:trPr>
        <w:tc>
          <w:tcPr>
            <w:tcW w:w="1701" w:type="dxa"/>
          </w:tcPr>
          <w:p w14:paraId="26F5FA27" w14:textId="77777777" w:rsidR="00972FBE" w:rsidRDefault="00D33DC4">
            <w:r>
              <w:t>ЭХБК</w:t>
            </w:r>
          </w:p>
        </w:tc>
        <w:tc>
          <w:tcPr>
            <w:tcW w:w="3685" w:type="dxa"/>
          </w:tcPr>
          <w:p w14:paraId="458A7300" w14:textId="77777777" w:rsidR="00972FBE" w:rsidRDefault="00D33DC4">
            <w:r>
              <w:t>Ordinary Least Squares (OLS)</w:t>
            </w:r>
          </w:p>
        </w:tc>
        <w:tc>
          <w:tcPr>
            <w:tcW w:w="3685" w:type="dxa"/>
          </w:tcPr>
          <w:p w14:paraId="6B6A8FC1" w14:textId="77777777" w:rsidR="00972FBE" w:rsidRDefault="00D33DC4">
            <w:r>
              <w:t>Энгийн хамгийн бага квадратын арга</w:t>
            </w:r>
          </w:p>
        </w:tc>
      </w:tr>
      <w:tr w:rsidR="00972FBE" w14:paraId="001E33D4" w14:textId="77777777" w:rsidTr="00BE47A5">
        <w:trPr>
          <w:jc w:val="center"/>
        </w:trPr>
        <w:tc>
          <w:tcPr>
            <w:tcW w:w="1701" w:type="dxa"/>
          </w:tcPr>
          <w:p w14:paraId="61FE41C2" w14:textId="77777777" w:rsidR="00972FBE" w:rsidRDefault="00D33DC4">
            <w:r>
              <w:t>ХШХБК</w:t>
            </w:r>
          </w:p>
        </w:tc>
        <w:tc>
          <w:tcPr>
            <w:tcW w:w="3685" w:type="dxa"/>
          </w:tcPr>
          <w:p w14:paraId="722DA962" w14:textId="77777777" w:rsidR="00972FBE" w:rsidRDefault="00D33DC4">
            <w:r>
              <w:t>Two-Stage Least Squares (2SLS)</w:t>
            </w:r>
          </w:p>
        </w:tc>
        <w:tc>
          <w:tcPr>
            <w:tcW w:w="3685" w:type="dxa"/>
          </w:tcPr>
          <w:p w14:paraId="5CC802BF" w14:textId="77777777" w:rsidR="00972FBE" w:rsidRDefault="00D33DC4">
            <w:r>
              <w:t>Хоёр шатлалт хамгийн бага квадратын арга</w:t>
            </w:r>
          </w:p>
        </w:tc>
      </w:tr>
      <w:tr w:rsidR="00972FBE" w14:paraId="0B07192D" w14:textId="77777777" w:rsidTr="00BE47A5">
        <w:trPr>
          <w:jc w:val="center"/>
        </w:trPr>
        <w:tc>
          <w:tcPr>
            <w:tcW w:w="1701" w:type="dxa"/>
          </w:tcPr>
          <w:p w14:paraId="21B708B6" w14:textId="77777777" w:rsidR="00972FBE" w:rsidRDefault="00D33DC4">
            <w:r>
              <w:t>ХХБР</w:t>
            </w:r>
          </w:p>
        </w:tc>
        <w:tc>
          <w:tcPr>
            <w:tcW w:w="3685" w:type="dxa"/>
          </w:tcPr>
          <w:p w14:paraId="05D5E68B" w14:textId="77777777" w:rsidR="00972FBE" w:rsidRDefault="00D33DC4">
            <w:r>
              <w:t>IV Threshold Regression (IVTR)</w:t>
            </w:r>
          </w:p>
        </w:tc>
        <w:tc>
          <w:tcPr>
            <w:tcW w:w="3685" w:type="dxa"/>
          </w:tcPr>
          <w:p w14:paraId="79FA1BBD" w14:textId="77777777" w:rsidR="00972FBE" w:rsidRDefault="00D33DC4">
            <w:r>
              <w:t>Хэрэгсэл хувьсагчтай босго утгат регресс</w:t>
            </w:r>
          </w:p>
        </w:tc>
      </w:tr>
      <w:tr w:rsidR="00972FBE" w14:paraId="64519885" w14:textId="77777777" w:rsidTr="00BE47A5">
        <w:trPr>
          <w:jc w:val="center"/>
        </w:trPr>
        <w:tc>
          <w:tcPr>
            <w:tcW w:w="1701" w:type="dxa"/>
          </w:tcPr>
          <w:p w14:paraId="2A5D7C09" w14:textId="77777777" w:rsidR="00972FBE" w:rsidRDefault="00D33DC4">
            <w:r>
              <w:t>ӨНЭЗС</w:t>
            </w:r>
          </w:p>
        </w:tc>
        <w:tc>
          <w:tcPr>
            <w:tcW w:w="3685" w:type="dxa"/>
          </w:tcPr>
          <w:p w14:paraId="5F6C30F2" w14:textId="77777777" w:rsidR="00972FBE" w:rsidRDefault="00D33DC4">
            <w:r>
              <w:t>Household Socio-Economic Survey (HSES)</w:t>
            </w:r>
          </w:p>
        </w:tc>
        <w:tc>
          <w:tcPr>
            <w:tcW w:w="3685" w:type="dxa"/>
          </w:tcPr>
          <w:p w14:paraId="549E9F49" w14:textId="77777777" w:rsidR="00972FBE" w:rsidRDefault="00D33DC4">
            <w:r>
              <w:t>Өрхийн нийгэм, эдийн засгийн судалгаа</w:t>
            </w:r>
          </w:p>
        </w:tc>
      </w:tr>
      <w:tr w:rsidR="00972FBE" w14:paraId="2BE614CA" w14:textId="77777777" w:rsidTr="00BE47A5">
        <w:trPr>
          <w:jc w:val="center"/>
        </w:trPr>
        <w:tc>
          <w:tcPr>
            <w:tcW w:w="1701" w:type="dxa"/>
          </w:tcPr>
          <w:p w14:paraId="295520D3" w14:textId="77777777" w:rsidR="00972FBE" w:rsidRDefault="00D33DC4">
            <w:r>
              <w:t>ҮСХ</w:t>
            </w:r>
          </w:p>
        </w:tc>
        <w:tc>
          <w:tcPr>
            <w:tcW w:w="3685" w:type="dxa"/>
          </w:tcPr>
          <w:p w14:paraId="41D917D1" w14:textId="77777777" w:rsidR="00972FBE" w:rsidRDefault="00D33DC4">
            <w:r>
              <w:t>National Statistics Office</w:t>
            </w:r>
          </w:p>
        </w:tc>
        <w:tc>
          <w:tcPr>
            <w:tcW w:w="3685" w:type="dxa"/>
          </w:tcPr>
          <w:p w14:paraId="40738C9C" w14:textId="77777777" w:rsidR="00972FBE" w:rsidRDefault="00D33DC4">
            <w:r>
              <w:t>Үндэсний Статистикийн Хороо</w:t>
            </w:r>
          </w:p>
        </w:tc>
      </w:tr>
      <w:tr w:rsidR="00972FBE" w14:paraId="4BA80B29" w14:textId="77777777" w:rsidTr="00BE47A5">
        <w:trPr>
          <w:jc w:val="center"/>
        </w:trPr>
        <w:tc>
          <w:tcPr>
            <w:tcW w:w="1701" w:type="dxa"/>
          </w:tcPr>
          <w:p w14:paraId="34B8543D" w14:textId="77777777" w:rsidR="00972FBE" w:rsidRDefault="00D33DC4">
            <w:r>
              <w:t>ЕБС</w:t>
            </w:r>
          </w:p>
        </w:tc>
        <w:tc>
          <w:tcPr>
            <w:tcW w:w="3685" w:type="dxa"/>
          </w:tcPr>
          <w:p w14:paraId="1E846D3F" w14:textId="77777777" w:rsidR="00972FBE" w:rsidRDefault="00D33DC4">
            <w:r>
              <w:t>General Education School</w:t>
            </w:r>
          </w:p>
        </w:tc>
        <w:tc>
          <w:tcPr>
            <w:tcW w:w="3685" w:type="dxa"/>
          </w:tcPr>
          <w:p w14:paraId="595FCF7E" w14:textId="77777777" w:rsidR="00972FBE" w:rsidRDefault="00D33DC4">
            <w:r>
              <w:t>Ерөнхий боловсролын сургууль</w:t>
            </w:r>
          </w:p>
        </w:tc>
      </w:tr>
      <w:tr w:rsidR="00972FBE" w14:paraId="2CEFCF8A" w14:textId="77777777" w:rsidTr="00BE47A5">
        <w:trPr>
          <w:jc w:val="center"/>
        </w:trPr>
        <w:tc>
          <w:tcPr>
            <w:tcW w:w="1701" w:type="dxa"/>
          </w:tcPr>
          <w:p w14:paraId="08C0FD70" w14:textId="77777777" w:rsidR="00972FBE" w:rsidRDefault="00D33DC4">
            <w:r>
              <w:t>МСҮТ</w:t>
            </w:r>
          </w:p>
        </w:tc>
        <w:tc>
          <w:tcPr>
            <w:tcW w:w="3685" w:type="dxa"/>
          </w:tcPr>
          <w:p w14:paraId="6EC7677C" w14:textId="77777777" w:rsidR="00972FBE" w:rsidRDefault="00D33DC4">
            <w:r>
              <w:t>Vocational Education Training Centre</w:t>
            </w:r>
          </w:p>
        </w:tc>
        <w:tc>
          <w:tcPr>
            <w:tcW w:w="3685" w:type="dxa"/>
          </w:tcPr>
          <w:p w14:paraId="72D9E9EB" w14:textId="77777777" w:rsidR="00972FBE" w:rsidRDefault="00D33DC4">
            <w:r>
              <w:t>Мэргэжлийн сургалт, үйлдвэрлэлийн төв</w:t>
            </w:r>
          </w:p>
        </w:tc>
      </w:tr>
      <w:tr w:rsidR="00972FBE" w14:paraId="77C075B4" w14:textId="77777777" w:rsidTr="00BE47A5">
        <w:trPr>
          <w:jc w:val="center"/>
        </w:trPr>
        <w:tc>
          <w:tcPr>
            <w:tcW w:w="1701" w:type="dxa"/>
          </w:tcPr>
          <w:p w14:paraId="06F99BA8" w14:textId="77777777" w:rsidR="00972FBE" w:rsidRDefault="00D33DC4">
            <w:r>
              <w:t>ЭЕШ</w:t>
            </w:r>
          </w:p>
        </w:tc>
        <w:tc>
          <w:tcPr>
            <w:tcW w:w="3685" w:type="dxa"/>
          </w:tcPr>
          <w:p w14:paraId="30D52A30" w14:textId="77777777" w:rsidR="00972FBE" w:rsidRDefault="00D33DC4">
            <w:r>
              <w:t>University Entrance Examination</w:t>
            </w:r>
          </w:p>
        </w:tc>
        <w:tc>
          <w:tcPr>
            <w:tcW w:w="3685" w:type="dxa"/>
          </w:tcPr>
          <w:p w14:paraId="7CC04914" w14:textId="77777777" w:rsidR="00972FBE" w:rsidRDefault="00D33DC4">
            <w:r>
              <w:t>Элсэлтийн ерөнхий шалгалт</w:t>
            </w:r>
          </w:p>
        </w:tc>
      </w:tr>
      <w:tr w:rsidR="00972FBE" w14:paraId="3FE60B45" w14:textId="77777777" w:rsidTr="00BE47A5">
        <w:trPr>
          <w:jc w:val="center"/>
        </w:trPr>
        <w:tc>
          <w:tcPr>
            <w:tcW w:w="1701" w:type="dxa"/>
          </w:tcPr>
          <w:p w14:paraId="2D707AE5" w14:textId="77777777" w:rsidR="00972FBE" w:rsidRDefault="00D33DC4">
            <w:r>
              <w:t>JEL</w:t>
            </w:r>
          </w:p>
        </w:tc>
        <w:tc>
          <w:tcPr>
            <w:tcW w:w="3685" w:type="dxa"/>
          </w:tcPr>
          <w:p w14:paraId="4F276A73" w14:textId="77777777" w:rsidR="00972FBE" w:rsidRDefault="00D33DC4">
            <w:r>
              <w:t>Journal of Economic Literature</w:t>
            </w:r>
          </w:p>
        </w:tc>
        <w:tc>
          <w:tcPr>
            <w:tcW w:w="3685" w:type="dxa"/>
          </w:tcPr>
          <w:p w14:paraId="362B8DA7" w14:textId="77777777" w:rsidR="00972FBE" w:rsidRDefault="00D33DC4">
            <w:r>
              <w:t>Эдийн засгийн уран зохиолын сэтгүүлийн ангилал</w:t>
            </w:r>
          </w:p>
        </w:tc>
      </w:tr>
      <w:tr w:rsidR="00972FBE" w14:paraId="15557798" w14:textId="77777777" w:rsidTr="00BE47A5">
        <w:trPr>
          <w:jc w:val="center"/>
        </w:trPr>
        <w:tc>
          <w:tcPr>
            <w:tcW w:w="1701" w:type="dxa"/>
          </w:tcPr>
          <w:p w14:paraId="774B3A78" w14:textId="77777777" w:rsidR="00972FBE" w:rsidRDefault="00D33DC4">
            <w:r>
              <w:t>APA</w:t>
            </w:r>
          </w:p>
        </w:tc>
        <w:tc>
          <w:tcPr>
            <w:tcW w:w="3685" w:type="dxa"/>
          </w:tcPr>
          <w:p w14:paraId="1C0EF6B8" w14:textId="77777777" w:rsidR="00972FBE" w:rsidRDefault="00D33DC4">
            <w:r>
              <w:t>American Psychological Association</w:t>
            </w:r>
          </w:p>
        </w:tc>
        <w:tc>
          <w:tcPr>
            <w:tcW w:w="3685" w:type="dxa"/>
          </w:tcPr>
          <w:p w14:paraId="051BC4B1" w14:textId="77777777" w:rsidR="00972FBE" w:rsidRDefault="00D33DC4">
            <w:r>
              <w:t>Америкийн Сэтгэл Судлалын Холбооны ишлэлийн стандарт</w:t>
            </w:r>
          </w:p>
        </w:tc>
      </w:tr>
    </w:tbl>
    <w:p w14:paraId="0AD9CC07" w14:textId="77777777" w:rsidR="000B782D" w:rsidRDefault="0018275F">
      <w:r>
        <w:br w:type="page"/>
      </w:r>
    </w:p>
    <w:p w14:paraId="6074D8CC"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7DADE30C"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12EC3481" w14:textId="77777777" w:rsidR="000B782D" w:rsidRDefault="0018275F">
      <w:pPr>
        <w:ind w:firstLine="567"/>
        <w:jc w:val="both"/>
      </w:pPr>
      <w: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төрсөн аймгаар дахин түүвэрлэсэн шалгалтаар 5 хувийн түвшинд статистикийн ач холбогдолтой гарсан. Иймд боловсролын өгөөжийг нэг дундаж тоогоор бус, хүүхэд ахуйн сургуулийн орчны ялгаатай нөхцөлтэй уялдуулан үнэлэх шаардлагатай бөгөөд багшийн нөөц, сургуулийн ачааллын бүс нутгийн ялгааг бууруулах бодлого чухал болохыг үр дүн харуулж байна.</w:t>
      </w:r>
    </w:p>
    <w:p w14:paraId="0AA6F722" w14:textId="77777777" w:rsidR="000B782D" w:rsidRDefault="000B782D">
      <w:pPr>
        <w:jc w:val="both"/>
      </w:pPr>
    </w:p>
    <w:p w14:paraId="426384A8" w14:textId="77777777" w:rsidR="000B782D" w:rsidRDefault="0018275F">
      <w:r>
        <w:br w:type="page"/>
      </w:r>
    </w:p>
    <w:p w14:paraId="7EE4E86F"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2EB5EE80" w14:textId="77777777" w:rsidR="000B782D" w:rsidRPr="00BE47A5" w:rsidRDefault="0018275F" w:rsidP="00BE47A5">
      <w:pPr>
        <w:rPr>
          <w:b/>
          <w:bCs/>
        </w:rPr>
      </w:pPr>
      <w:r>
        <w:t>Судалгааны сэдвийн үндэслэл</w:t>
      </w:r>
    </w:p>
    <w:p w14:paraId="148B67D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431C4813"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2F05E2FC" w14:textId="77777777" w:rsidR="000B782D" w:rsidRDefault="0018275F">
      <w:pPr>
        <w:ind w:firstLine="567"/>
        <w:jc w:val="both"/>
      </w:pPr>
      <w: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боловсролын өгөөж нь сургуулийн орчны ачаалал багатай болон ачаалал өндөртэй нөхцөлд ялгаатай байж болох юм.</w:t>
      </w:r>
    </w:p>
    <w:p w14:paraId="0FE1AE79" w14:textId="77777777" w:rsidR="000B782D" w:rsidRPr="00BE47A5" w:rsidRDefault="0018275F" w:rsidP="00BE47A5">
      <w:pPr>
        <w:rPr>
          <w:b/>
          <w:bCs/>
        </w:rPr>
      </w:pPr>
      <w:r>
        <w:t>Судалгааны зорилго, зорилтууд</w:t>
      </w:r>
    </w:p>
    <w:p w14:paraId="5FEF1206"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7193679D" w14:textId="77777777" w:rsidR="000B782D" w:rsidRDefault="0018275F">
      <w:pPr>
        <w:ind w:firstLine="567"/>
        <w:jc w:val="both"/>
      </w:pPr>
      <w:r>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3EFAE068" w14:textId="77777777" w:rsidR="000B782D" w:rsidRPr="00BE47A5" w:rsidRDefault="0018275F" w:rsidP="00BE47A5">
      <w:pPr>
        <w:rPr>
          <w:b/>
          <w:bCs/>
        </w:rPr>
      </w:pPr>
      <w:r>
        <w:t>Судалгааны шинэлэг тал</w:t>
      </w:r>
    </w:p>
    <w:p w14:paraId="397FBEB0"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74C335A9" w14:textId="77777777" w:rsidR="000B782D" w:rsidRPr="00BE47A5" w:rsidRDefault="0018275F" w:rsidP="00BE47A5">
      <w:pPr>
        <w:rPr>
          <w:b/>
          <w:bCs/>
        </w:rPr>
      </w:pPr>
      <w:r>
        <w:t>Судалгааны объект, хамрах хүрээ</w:t>
      </w:r>
    </w:p>
    <w:p w14:paraId="7FEE786C" w14:textId="77777777" w:rsidR="00BE47A5" w:rsidRDefault="0018275F" w:rsidP="00BE47A5">
      <w:pPr>
        <w:ind w:firstLine="567"/>
        <w:jc w:val="both"/>
        <w:rPr>
          <w:b/>
          <w:bCs/>
        </w:rPr>
      </w:pPr>
      <w: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ачааллыг төлөөлөх урьдчилан тогтсон үзүүлэлт гэж тайлбарлагдана.</w:t>
      </w:r>
    </w:p>
    <w:p w14:paraId="7A8EB3F4" w14:textId="77777777" w:rsidR="00972FBE" w:rsidRPr="00BE47A5" w:rsidRDefault="00D33DC4" w:rsidP="00BE47A5">
      <w:pPr>
        <w:jc w:val="both"/>
      </w:pPr>
      <w:r>
        <w:t>Ажлын бүтэц</w:t>
      </w:r>
    </w:p>
    <w:p w14:paraId="4F9A870F" w14:textId="77777777" w:rsidR="00BE47A5" w:rsidRDefault="00D33DC4">
      <w:r>
        <w:t>Судалгааны ажил нь зургаан үндсэн хэсгээс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болон ХХБР үнэлгээний үр дүнг нэгтгэн шинжилнэ. Тавдугаар бүлэгт үр дүнгийн бат бөх байдлыг хэлэлцэж, эцэст нь дүгнэлт, бодлогын санал, судалгааны хязгаарлалтыг нэгтгэнэ.</w:t>
      </w:r>
    </w:p>
    <w:p w14:paraId="763C282E" w14:textId="77777777" w:rsidR="00972FBE" w:rsidRDefault="00972FBE"/>
    <w:p w14:paraId="7CDE75D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7D5B2F70" w14:textId="77777777" w:rsidR="000B782D" w:rsidRDefault="0018275F">
      <w:pPr>
        <w:pStyle w:val="Heading2"/>
        <w:spacing w:after="120"/>
      </w:pPr>
      <w:r>
        <w:t>1.1. Боловсролын өгөөж ба эндоген хазайлт</w:t>
      </w:r>
    </w:p>
    <w:p w14:paraId="2E37CB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2D832807"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1BA366D1" w14:textId="77777777" w:rsidR="000B782D" w:rsidRDefault="0018275F">
      <w:pPr>
        <w:pStyle w:val="Heading2"/>
        <w:spacing w:after="120"/>
      </w:pPr>
      <w:r>
        <w:t>1.2. Хэрэгсэл хувьсагч ба гэр бүлийн суурь нөхцөл</w:t>
      </w:r>
    </w:p>
    <w:p w14:paraId="66AC2455"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74FACADC" w14:textId="77777777" w:rsidR="000B782D" w:rsidRDefault="0018275F">
      <w:pPr>
        <w:ind w:firstLine="567"/>
        <w:jc w:val="both"/>
      </w:pPr>
      <w:r>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54454F09" w14:textId="77777777" w:rsidR="000B782D" w:rsidRDefault="0018275F">
      <w:pPr>
        <w:pStyle w:val="Heading2"/>
        <w:spacing w:after="120"/>
      </w:pPr>
      <w:r>
        <w:t>1.3. Сургуулийн орчны босго ба ХХБР арга</w:t>
      </w:r>
    </w:p>
    <w:p w14:paraId="01F5E284" w14:textId="77777777" w:rsidR="000B782D" w:rsidRDefault="0018275F">
      <w:pPr>
        <w:ind w:firstLine="567"/>
        <w:jc w:val="both"/>
      </w:pPr>
      <w:r>
        <w:t>Боловсролын өгөөж нь зөвхөн хувь хүний боловсролын жилийн тооноос бус тухайн боловсрол хуримтлагдсан сургуулийн орчноос хамаарч өөр байж болно. Сургуулийн нөөц, багшийн ачаалал, ангийн нягтаршил нь суралцах үйл явцад нөлөөлөх боломжтойг Duflo (2001)-ийн сургуулийн нийлүүлэлтийн судалгаа, Angrist, Lavy (1999) болон Krueger (1999)-ийн ангийн хэмжээний судалгаанууд харуулсан. Hanushek (2003) сургуулийн орцын нөлөө улс орон, байгууллагын чанар, хэрэгжилтийн нөхцөлөөс хамааран тогтвортой бус байж болохыг сануулсан нь сурагч-багшийн харьцааг шууд шалтгаант нөлөө бус, сургуулийн орчны ялгааг илэрхийлэх босго хувьсагч болгон болгоомжтой ашиглах үндэслэл болно.</w:t>
      </w:r>
    </w:p>
    <w:p w14:paraId="50FF980D"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8790A1B" w14:textId="77777777" w:rsidR="000B782D" w:rsidRDefault="0018275F">
      <w:pPr>
        <w:ind w:firstLine="567"/>
        <w:jc w:val="both"/>
      </w:pPr>
      <w:r>
        <w:t>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Ийм бүтэц нь боловсролын өгөөж сургуулийн орчны ялгаагаар өөрчлөгдөж байгаа эсэхийг шалгах боломж олгох бөгөөд босго хувьсагчийг цалингийн шууд шалтгаан гэж бус, өгөөжийн ялгаатай регимийг ялгах шалгуур гэж тайлбарлана.</w:t>
      </w:r>
    </w:p>
    <w:p w14:paraId="5685A76B" w14:textId="77777777" w:rsidR="000B782D" w:rsidRDefault="0018275F">
      <w:pPr>
        <w:pStyle w:val="Heading2"/>
        <w:spacing w:after="120"/>
      </w:pPr>
      <w:r>
        <w:t>1.4. Монголын хүрээн дэх өмнөх судалгаа ба орон зай</w:t>
      </w:r>
    </w:p>
    <w:p w14:paraId="60748637"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714DDDB8"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533FD1B5"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525CDBF4" w14:textId="77777777" w:rsidR="000B782D" w:rsidRDefault="0018275F">
      <w:r>
        <w:br w:type="page"/>
      </w:r>
    </w:p>
    <w:p w14:paraId="4F6EF941"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6F5D15BE" w14:textId="77777777" w:rsidR="000B782D" w:rsidRDefault="0018275F">
      <w:pPr>
        <w:ind w:firstLine="567"/>
        <w:jc w:val="both"/>
      </w:pPr>
      <w:r>
        <w:t>Энэхүү судалгааны арга зүй нь боловсролын цалингийн өгөөжийг үнэлэхдээ гурван шатны логик дараалал баримтална. Нэгдүгээрт, Минсерийн уламжлалт цалингийн тэгшитгэлийг ЭХБК аргаар үнэлж суурь холбоог тогтооно. Хоёрдугаарт, боловсролын жил санамсаргүй сонгогддоггүй гэсэн эндоген асуудлыг эцэг, эхийн боловсролын дундаж хэрэгсэл хувьсагчаар засаж ХШХБК үнэлгээ хийнэ. Гуравдугаарт, боловсролын өгөөж сургуулийн орчны ялгаагаар өөр өөр байж болох эсэхийг Caner, Hansen (2004)-ийн санаанд тулгуурласан хэрэгсэл хувьсагчтай босго утгат регрессээр шалгана. Үндсэн шинжилгээний нэгж нь ӨНЭЗС-ийн 2020, 2021, 2022, 2024 оны давалгаанд хамрагдсан 25–60 насны цалин хөлстэй ажиллагч бөгөөд загваруудад өрхийн түүврийн жин, төрсөн аймаг, төрсөн үеийн бүлэг, судалгааны давалгааны тогтмол нөлөөг харгалзан үзнэ.</w:t>
      </w:r>
    </w:p>
    <w:p w14:paraId="6117FFC6" w14:textId="77777777" w:rsidR="000B782D" w:rsidRDefault="0018275F">
      <w:pPr>
        <w:pStyle w:val="Heading2"/>
        <w:spacing w:after="120"/>
      </w:pPr>
      <w:r>
        <w:t>2.1. Судалгааны загвар ба хувьсагчдын тогтолцоо</w:t>
      </w:r>
    </w:p>
    <w:p w14:paraId="70BC428B" w14:textId="77777777" w:rsidR="000B782D" w:rsidRDefault="0018275F">
      <w:pPr>
        <w:ind w:firstLine="567"/>
        <w:jc w:val="both"/>
      </w:pPr>
      <w:r>
        <w:t>Судалгааны хамаарах хувьсагч нь сарын хөдөлмөрийн орлогын логарифмчилсан утга байна. Үндсэн тайлбарлагч нь боловсролын жил, хяналтын хувьсагчид нь нас, насны квадрат, хүйс, гэрлэлтийн байдал, хотын суурьшлын үзүүлэлтээс бүрдэнэ. Тогтмол нөлөөгөөр төрсөн аймаг, төрсөн үеийн бүлэг, судалгааны давалгааг оруулснаар орон нутгийн суурь ялгаа, үеийн ялгаа, тухайн жилийн макро орчны нөлөөг хянах боломжтой болно. Суурь бүтцийн тэгшитгэлийг дараах байдлаар бичнэ:</w:t>
      </w:r>
    </w:p>
    <w:p w14:paraId="0151B2C1"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ε</m:t>
            </m:r>
          </m:e>
          <m:sub>
            <m:r>
              <m:t>i</m:t>
            </m:r>
          </m:sub>
        </m:sSub>
      </m:oMath>
      <w:r>
        <w:tab/>
        <w:t>(2)</w:t>
      </w:r>
    </w:p>
    <w:p w14:paraId="36434B17" w14:textId="77777777" w:rsidR="000B782D" w:rsidRDefault="0018275F">
      <w:pPr>
        <w:ind w:firstLine="567"/>
        <w:jc w:val="both"/>
      </w:pPr>
      <w:r>
        <w:t>Энд зүүн талын хувьсагч нь логаритмчилсан цалин, боловсролын хувьсагч нь боловсролын жил, хяналтын вектор нь нас, насны квадрат, хүйс, гэрлэлтийн байдал, хотын суурьшлыг илэрхийлнэ. Тэгшитгэлд төрсөн аймаг, төрсөн үеийн бүлэг, судалгааны давалгааны тогтмол нөлөөг тусгасан. Боловсролын коэффициент нь нэмэлт нэг жилийн цалингийн хагас уян хатан чанарыг илэрхийлэх бөгөөд бүх стандарт алдааг төрсөн аймгийн түвшинд кластерлан тооцно.</w:t>
      </w:r>
    </w:p>
    <w:p w14:paraId="4EA474F1" w14:textId="77777777" w:rsidR="000B782D" w:rsidRDefault="0018275F">
      <w:pPr>
        <w:pStyle w:val="Heading2"/>
        <w:spacing w:after="120"/>
      </w:pPr>
      <w:r>
        <w:t>2.2. ЭХБК суурь үнэлгээ</w:t>
      </w:r>
    </w:p>
    <w:p w14:paraId="162720B6" w14:textId="77777777" w:rsidR="000B782D" w:rsidRDefault="0018275F">
      <w:pPr>
        <w:ind w:firstLine="567"/>
        <w:jc w:val="both"/>
      </w:pPr>
      <w:r>
        <w:t>ЭХБК үнэлгээ нь боловсрол ба цалингийн хоорондын суурь статистик холбоог харуулах зорилготой. Гэхдээ энэ үнэлгээг шууд шалтгаант нөлөө гэж тайлбарлахгүй. Учир нь боловсролын сонголт хувь хүний ажиглагдашгүй ур чадвар, өрхийн боловсролын орчин, хөдөлмөрийн зах зээлийн мэдээлэл авах боломж зэрэг хүчин зүйлтэй холбоотой байж болно. Иймээс ЭХБК нь дараагийн ХШХБК болон ХХБР үнэлгээтэй харьцуулах суурь үзүүлэлт болно.</w:t>
      </w:r>
    </w:p>
    <w:p w14:paraId="761EB3D1" w14:textId="77777777" w:rsidR="000B782D" w:rsidRDefault="0018275F">
      <w:pPr>
        <w:tabs>
          <w:tab w:val="center" w:pos="4535"/>
          <w:tab w:val="right" w:pos="9071"/>
        </w:tabs>
      </w:pPr>
      <w:r>
        <w:tab/>
      </w:r>
      <m:oMath>
        <m:sSub>
          <m:e>
            <m:acc>
              <m:accPr>
                <m:chr m:val="̂"/>
              </m:accPr>
              <m:e>
                <m:r>
                  <m:t>θ</m:t>
                </m:r>
              </m:e>
            </m:acc>
          </m:e>
          <m:sub>
            <m:r>
              <m:t>O</m:t>
            </m:r>
            <m:r>
              <m:t>L</m:t>
            </m:r>
            <m:r>
              <m:t>S</m:t>
            </m:r>
          </m:sub>
        </m:sSub>
        <m:r>
          <m:rPr>
            <m:sty m:val="p"/>
          </m:rPr>
          <m:t>=</m:t>
        </m:r>
        <m:r>
          <m:rPr>
            <m:sty m:val="p"/>
          </m:rPr>
          <m:t>arg</m:t>
        </m:r>
        <m:limLow>
          <m:e>
            <m:r>
              <m:rPr>
                <m:sty m:val="p"/>
              </m:rPr>
              <m:t>min</m:t>
            </m:r>
          </m:e>
          <m:lim>
            <m:r>
              <m:t>θ</m:t>
            </m:r>
          </m:lim>
        </m:limLow>
        <m:nary>
          <m:naryPr>
            <m:chr m:val="∑"/>
            <m:limLoc m:val="undOvr"/>
            <m:subHide m:val="off"/>
            <m:supHide m:val="off"/>
          </m:naryPr>
          <m:sub>
            <m:r>
              <m:t>i</m:t>
            </m:r>
            <m:r>
              <m:rPr>
                <m:sty m:val="p"/>
              </m:rPr>
              <m:t>=</m:t>
            </m:r>
            <m:r>
              <m:t>1</m:t>
            </m:r>
          </m:sub>
          <m:sup>
            <m:r>
              <m:t>N</m:t>
            </m:r>
          </m:sup>
          <m:e>
            <m:sSub>
              <m:e>
                <m:r>
                  <m:t>h</m:t>
                </m:r>
              </m:e>
              <m:sub>
                <m:r>
                  <m:t>i</m:t>
                </m:r>
              </m:sub>
            </m:sSub>
          </m:e>
        </m:nary>
        <m:sSup>
          <m:e>
            <m:d>
              <m:dPr>
                <m:begChr m:val="["/>
                <m:sepChr m:val=""/>
                <m:endChr m:val="]"/>
                <m:grow/>
              </m:dPr>
              <m:e>
                <m:r>
                  <m:rPr>
                    <m:sty m:val="p"/>
                  </m:rPr>
                  <m:t>ln</m:t>
                </m:r>
                <m:r>
                  <m:rPr>
                    <m:sty m:val="p"/>
                  </m:rPr>
                  <m:t>(</m:t>
                </m:r>
                <m:sSub>
                  <m:e>
                    <m:r>
                      <m:t>w</m:t>
                    </m:r>
                  </m:e>
                  <m:sub>
                    <m:r>
                      <m:t>i</m:t>
                    </m:r>
                  </m:sub>
                </m:sSub>
                <m:r>
                  <m:rPr>
                    <m:sty m:val="p"/>
                  </m:rPr>
                  <m:t>)</m:t>
                </m:r>
                <m:r>
                  <m:rPr>
                    <m:sty m:val="p"/>
                  </m:rPr>
                  <m:t>−</m:t>
                </m:r>
                <m:d>
                  <m:dPr>
                    <m:begChr m:val="("/>
                    <m:sepChr m:val=""/>
                    <m:endChr m:val=")"/>
                    <m:grow/>
                  </m:dPr>
                  <m:e>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e>
                </m:d>
              </m:e>
            </m:d>
          </m:e>
          <m:sup>
            <m:r>
              <m:t>2</m:t>
            </m:r>
          </m:sup>
        </m:sSup>
      </m:oMath>
      <w:r>
        <w:tab/>
        <w:t>(3)</w:t>
      </w:r>
    </w:p>
    <w:p w14:paraId="12E540A1" w14:textId="77777777" w:rsidR="000B782D" w:rsidRDefault="0018275F">
      <w:pPr>
        <w:ind w:firstLine="567"/>
        <w:jc w:val="both"/>
      </w:pPr>
      <w:r>
        <w:t>Энд h_i нь ӨНЭЗС-ийн өрхийн түүврийн жин, θ нь үнэлэгдэх бүх параметрийн вектор юм. Жинлэсэн ЭХБК үнэлгээ нь түүврийн төлөөлөх чадварыг хадгалж, кластерлагдсан стандарт алдаа нь нэг төрсөн аймагт харьяалагдах ажиглалтуудын хоорондын хамаарлыг зөвшөөрнө.</w:t>
      </w:r>
    </w:p>
    <w:p w14:paraId="7FED22F2" w14:textId="77777777" w:rsidR="000B782D" w:rsidRDefault="0018275F">
      <w:pPr>
        <w:tabs>
          <w:tab w:val="center" w:pos="4535"/>
          <w:tab w:val="right" w:pos="9071"/>
        </w:tabs>
      </w:pPr>
      <w:r>
        <w:tab/>
      </w:r>
      <m:oMath>
        <m:r>
          <m:t>r</m:t>
        </m:r>
        <m:r>
          <m:rPr>
            <m:sty m:val="p"/>
          </m:rPr>
          <m:t>(</m:t>
        </m:r>
        <m:acc>
          <m:accPr>
            <m:chr m:val="̂"/>
          </m:accPr>
          <m:e>
            <m:r>
              <m:t>β</m:t>
            </m:r>
          </m:e>
        </m:acc>
        <m:r>
          <m:rPr>
            <m:sty m:val="p"/>
          </m:rPr>
          <m:t>)</m:t>
        </m:r>
        <m:r>
          <m:rPr>
            <m:sty m:val="p"/>
          </m:rPr>
          <m:t>=</m:t>
        </m:r>
        <m:r>
          <m:t>100</m:t>
        </m:r>
        <m:d>
          <m:dPr>
            <m:begChr m:val="["/>
            <m:sepChr m:val=""/>
            <m:endChr m:val="]"/>
            <m:grow/>
          </m:dPr>
          <m:e>
            <m:r>
              <m:rPr>
                <m:sty m:val="p"/>
              </m:rPr>
              <m:t>exp</m:t>
            </m:r>
            <m:r>
              <m:rPr>
                <m:sty m:val="p"/>
              </m:rPr>
              <m:t>(</m:t>
            </m:r>
            <m:acc>
              <m:accPr>
                <m:chr m:val="̂"/>
              </m:accPr>
              <m:e>
                <m:r>
                  <m:t>β</m:t>
                </m:r>
              </m:e>
            </m:acc>
            <m:r>
              <m:rPr>
                <m:sty m:val="p"/>
              </m:rPr>
              <m:t>)</m:t>
            </m:r>
            <m:r>
              <m:rPr>
                <m:sty m:val="p"/>
              </m:rPr>
              <m:t>−</m:t>
            </m:r>
            <m:r>
              <m:t>1</m:t>
            </m:r>
          </m:e>
        </m:d>
      </m:oMath>
      <w:r>
        <w:tab/>
        <w:t>(4)</w:t>
      </w:r>
    </w:p>
    <w:p w14:paraId="4762A289" w14:textId="77777777" w:rsidR="000B782D" w:rsidRDefault="0018275F">
      <w:pPr>
        <w:ind w:firstLine="567"/>
        <w:jc w:val="both"/>
      </w:pPr>
      <w:r>
        <w:t>Логаритмчилсан цалингийн загварт боловсролын коэффициентийг хувийн өгөөж болгон тайлбарлахдаа экспоненциал хувиргалтыг хэрэглэнэ. Иймд үр дүнгийн бүлэгт боловсролын нэг жилийн өгөөжийг зөвхөн коэффициентээр бус, хувиар илэрхийлсэн өгөөжөөр тайлбарлана.</w:t>
      </w:r>
    </w:p>
    <w:p w14:paraId="2E024F17" w14:textId="77777777" w:rsidR="000B782D" w:rsidRDefault="0018275F">
      <w:pPr>
        <w:pStyle w:val="Heading2"/>
        <w:spacing w:after="120"/>
      </w:pPr>
      <w:r>
        <w:t>2.3. Хэрэгсэл хувьсагчтай үнэлгээ</w:t>
      </w:r>
    </w:p>
    <w:p w14:paraId="29A0FFB8" w14:textId="77777777" w:rsidR="000B782D" w:rsidRDefault="0018275F">
      <w:pPr>
        <w:ind w:firstLine="567"/>
        <w:jc w:val="both"/>
      </w:pPr>
      <w:r>
        <w:t>Боловсролын жил эндоген байж болох тул үндсэн шалтгаант үнэлгээнд ХШХБК аргыг хэрэглэнэ. Энэ судалгаанд эцэг, эхийн боловсролын дундажийг боловсролын жилийн хэрэгсэл хувьсагчаар сонгосон. Уг хувьсагч хүүхдийн боловсрол үргэлжлүүлэх боломж, суралцах орчин, өрхийн боловсролын үнэлэмжтэй холбоотой тул боловсролын жилтэй хүчтэй хамаарах онолын үндэслэлтэй. Харин цалинд гэр бүлийн нийгмийн сүлжээ, хүмүүжил зэрэг сувгаар шууд нөлөөлөх боломжийг бүрэн үгүйсгэх боломжгүй тул үр дүнг болгоомжтой, тодорхой таамаглалын хүрээнд тайлбарлана.</w:t>
      </w:r>
    </w:p>
    <w:p w14:paraId="207F11EF" w14:textId="77777777" w:rsidR="000B782D" w:rsidRDefault="0018275F">
      <w:pPr>
        <w:ind w:firstLine="567"/>
        <w:jc w:val="both"/>
      </w:pPr>
      <w:r>
        <w:t>ХШХБК үнэлгээ хоёр шаттай. Эхний шатанд боловсролын жилийг хэрэгсэл хувьсагч болон бусад хяналтын хувьсагчаар тайлбарлаж, боловсролын эндоген бус хэсгийг ялгана. Энэ шат нь хэрэгсэл хувьсагчийн хамаарал буюу relevance нөхцөлийг шалгах үндсэн суурь болно:</w:t>
      </w:r>
    </w:p>
    <w:p w14:paraId="45DFBA5E" w14:textId="77777777" w:rsidR="000B782D" w:rsidRDefault="0018275F">
      <w:pPr>
        <w:ind w:firstLine="567"/>
        <w:jc w:val="both"/>
      </w:pPr>
      <w:r>
        <w:t>Эхний шатны тэгшитгэлийг дараах байдлаар тодорхойлно:</w:t>
      </w:r>
    </w:p>
    <w:p w14:paraId="32FD78FF" w14:textId="77777777" w:rsidR="000B782D" w:rsidRDefault="0018275F">
      <w:pPr>
        <w:tabs>
          <w:tab w:val="center" w:pos="4535"/>
          <w:tab w:val="right" w:pos="9071"/>
        </w:tabs>
      </w:pPr>
      <w:r>
        <w:tab/>
      </w:r>
      <m:oMath>
        <m:r>
          <m:t>e</m:t>
        </m:r>
        <m:r>
          <m:t>d</m:t>
        </m:r>
        <m:r>
          <m:t>u</m:t>
        </m:r>
        <m:sSub>
          <m:e>
            <m:r>
              <m:t>c</m:t>
            </m:r>
          </m:e>
          <m:sub>
            <m:r>
              <m:t>i</m:t>
            </m:r>
          </m:sub>
        </m:sSub>
        <m:r>
          <m:rPr>
            <m:sty m:val="p"/>
          </m:rPr>
          <m:t>=</m:t>
        </m:r>
        <m:sSub>
          <m:e>
            <m:r>
              <m:t>π</m:t>
            </m:r>
          </m:e>
          <m:sub>
            <m:r>
              <m:t>0</m:t>
            </m:r>
          </m:sub>
        </m:sSub>
        <m:r>
          <m:rPr>
            <m:sty m:val="p"/>
          </m:rPr>
          <m:t>+</m:t>
        </m:r>
        <m:sSub>
          <m:e>
            <m:r>
              <m:t>π</m:t>
            </m:r>
          </m:e>
          <m:sub>
            <m:r>
              <m:t>1</m:t>
            </m:r>
          </m:sub>
        </m:sSub>
        <m:sSub>
          <m:e>
            <m:r>
              <m:t>z</m:t>
            </m:r>
          </m:e>
          <m:sub>
            <m:r>
              <m:t>i</m:t>
            </m:r>
          </m:sub>
        </m:sSub>
        <m:r>
          <m:rPr>
            <m:sty m:val="p"/>
          </m:rPr>
          <m:t>+</m:t>
        </m:r>
        <m:sSubSup>
          <m:e>
            <m:r>
              <m:t>X</m:t>
            </m:r>
          </m:e>
          <m:sub>
            <m:r>
              <m:t>i</m:t>
            </m:r>
          </m:sub>
          <m:sup>
            <m:r>
              <m:rPr>
                <m:sty m:val="p"/>
              </m:rPr>
              <m:t>′</m:t>
            </m:r>
          </m:sup>
        </m:sSubSup>
        <m:sSub>
          <m:e>
            <m:r>
              <m:t>π</m:t>
            </m:r>
          </m:e>
          <m:sub>
            <m:r>
              <m:t>2</m:t>
            </m:r>
          </m:sub>
        </m:sSub>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v</m:t>
            </m:r>
          </m:e>
          <m:sub>
            <m:r>
              <m:t>i</m:t>
            </m:r>
          </m:sub>
        </m:sSub>
      </m:oMath>
      <w:r>
        <w:tab/>
        <w:t>(5)</w:t>
      </w:r>
    </w:p>
    <w:p w14:paraId="4117A81A" w14:textId="77777777" w:rsidR="000B782D" w:rsidRDefault="0018275F">
      <w:pPr>
        <w:ind w:firstLine="567"/>
        <w:jc w:val="both"/>
      </w:pPr>
      <w:r>
        <w:t>Энд хэрэгсэл хувьсагч нь эцэг, эхийн боловсролын дундаж юм. Хэрэгсэл хувьсагч сул эсэхийг эхний шатны F статистикаар үнэлэх бөгөөд F утга 10-аас их байх ерөнхий шаардлагыг хангах эсэхийг шалгана. Энэ судалгаанд нэг эндоген хувьсагч, нэг хэрэгсэл хувьсагч ашиглаж байгаа тул загвар яг тодорхойлогдсон хэлбэртэй бөгөөд хэт тодорхойлогдсон байдлын J шалгуурыг хэрэглэхгүй.</w:t>
      </w:r>
    </w:p>
    <w:p w14:paraId="4398C2A4"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sSub>
          <m:e>
            <m:acc>
              <m:accPr>
                <m:chr m:val="̂"/>
              </m:accPr>
              <m:e>
                <m:r>
                  <m:t>e</m:t>
                </m:r>
                <m:r>
                  <m:t>d</m:t>
                </m:r>
                <m:r>
                  <m:t>u</m:t>
                </m:r>
                <m:r>
                  <m:t>c</m:t>
                </m:r>
              </m:e>
            </m:acc>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(6)</w:t>
      </w:r>
    </w:p>
    <w:p w14:paraId="566FD535" w14:textId="77777777" w:rsidR="000B782D" w:rsidRDefault="0018275F">
      <w:pPr>
        <w:ind w:firstLine="567"/>
        <w:jc w:val="both"/>
      </w:pPr>
      <w:r>
        <w:t>Хоёр дахь шатанд эхний шатнаас гарсан боловсролын тохирсон утгыг үндсэн цалингийн тэгшитгэлд ашиглана. Ингэснээр β коэффициент нь эцэг, эхийн боловсролоор өдөөгдсөн боловсролын жилийн өөрчлөлтийн хүрээнд тодорхойлогдох өгөөжийг илэрхийлнэ.</w:t>
      </w:r>
    </w:p>
    <w:p w14:paraId="1B5344F9" w14:textId="77777777" w:rsidR="000B782D" w:rsidRDefault="0018275F">
      <w:pPr>
        <w:pStyle w:val="Heading2"/>
        <w:spacing w:after="120"/>
      </w:pPr>
      <w:r>
        <w:t>2.4. Хэрэгсэл хувьсагчтай босго утгат регресс (ХХБР)</w:t>
      </w:r>
    </w:p>
    <w:p w14:paraId="6489BB74" w14:textId="77777777" w:rsidR="000B782D" w:rsidRDefault="0018275F">
      <w:pPr>
        <w:ind w:firstLine="567"/>
        <w:jc w:val="both"/>
      </w:pPr>
      <w:r>
        <w:t>Судалгааны үндсэн арга нь Caner, Hansen (2004)-ийн хэрэгсэл хувьсагчтай босго утгат регресс юм. Энэ арга нь хоёр асуудлыг нэгэн зэрэг авч үздэг: боловсролын жил эндоген байж болох асуудал болон боловсролын өгөөж нэг ижил налуутай бус, тодорхой босго хувьсагчаар ялгарах регимүүдийн хооронд өөр байж болох асуудал. Энэхүү судалгаанд босго хувьсагч нь боловсролын жил биш, харин тухайн хүний 17–18 насанд харгалзах сурагч-багшийн дундаж харьцаа юм.</w:t>
      </w:r>
    </w:p>
    <w:p w14:paraId="12E9376C"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rPr>
            <m:scr m:val="double-struck"/>
            <m:sty m:val="p"/>
          </m:rPr>
          <m:t>1</m:t>
        </m:r>
        <m:r>
          <m:rPr>
            <m:sty m:val="p"/>
          </m:rPr>
          <m:t>(</m:t>
        </m:r>
        <m:sSub>
          <m:e>
            <m:r>
              <m:t>q</m:t>
            </m:r>
          </m:e>
          <m:sub>
            <m:r>
              <m:t>i</m:t>
            </m:r>
          </m:sub>
        </m:sSub>
        <m:r>
          <m:rPr>
            <m:sty m:val="p"/>
          </m:rPr>
          <m:t>≤</m:t>
        </m:r>
        <m:r>
          <m:t>γ</m:t>
        </m:r>
        <m:r>
          <m:rPr>
            <m:sty m:val="p"/>
          </m:rPr>
          <m:t>)</m:t>
        </m:r>
        <m:r>
          <m:rPr>
            <m:sty m:val="p"/>
          </m:rPr>
          <m:t>(</m:t>
        </m:r>
        <m:sSub>
          <m:e>
            <m:r>
              <m:t>α</m:t>
            </m:r>
          </m:e>
          <m:sub>
            <m:r>
              <m:t>1</m:t>
            </m:r>
          </m:sub>
        </m:sSub>
        <m:r>
          <m:rPr>
            <m:sty m:val="p"/>
          </m:rPr>
          <m:t>+</m:t>
        </m:r>
        <m:sSub>
          <m:e>
            <m:r>
              <m:t>β</m:t>
            </m:r>
          </m:e>
          <m:sub>
            <m:r>
              <m:t>1</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1</m:t>
            </m:r>
          </m:sub>
        </m:sSub>
        <m:r>
          <m:rPr>
            <m:sty m:val="p"/>
          </m:rPr>
          <m:t>)</m:t>
        </m:r>
        <m:r>
          <m:rPr>
            <m:sty m:val="p"/>
          </m:rPr>
          <m:t>+</m:t>
        </m:r>
        <m:r>
          <m:rPr>
            <m:scr m:val="double-struck"/>
            <m:sty m:val="p"/>
          </m:rPr>
          <m:t>1</m:t>
        </m:r>
        <m:r>
          <m:rPr>
            <m:sty m:val="p"/>
          </m:rPr>
          <m:t>(</m:t>
        </m:r>
        <m:sSub>
          <m:e>
            <m:r>
              <m:t>q</m:t>
            </m:r>
          </m:e>
          <m:sub>
            <m:r>
              <m:t>i</m:t>
            </m:r>
          </m:sub>
        </m:sSub>
        <m:r>
          <m:rPr>
            <m:sty m:val="p"/>
          </m:rPr>
          <m:t>&gt;</m:t>
        </m:r>
        <m:r>
          <m:t>γ</m:t>
        </m:r>
        <m:r>
          <m:rPr>
            <m:sty m:val="p"/>
          </m:rPr>
          <m:t>)</m:t>
        </m:r>
        <m:r>
          <m:rPr>
            <m:sty m:val="p"/>
          </m:rPr>
          <m:t>(</m:t>
        </m:r>
        <m:sSub>
          <m:e>
            <m:r>
              <m:t>α</m:t>
            </m:r>
          </m:e>
          <m:sub>
            <m:r>
              <m:t>2</m:t>
            </m:r>
          </m:sub>
        </m:sSub>
        <m:r>
          <m:rPr>
            <m:sty m:val="p"/>
          </m:rPr>
          <m:t>+</m:t>
        </m:r>
        <m:sSub>
          <m:e>
            <m:r>
              <m:t>β</m:t>
            </m:r>
          </m:e>
          <m:sub>
            <m:r>
              <m:t>2</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2</m:t>
            </m:r>
          </m:sub>
        </m:sSub>
        <m:r>
          <m:rPr>
            <m:sty m:val="p"/>
          </m:rPr>
          <m:t>)</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(7)</w:t>
      </w:r>
    </w:p>
    <w:p w14:paraId="17FFDB64" w14:textId="77777777" w:rsidR="000B782D" w:rsidRDefault="0018275F">
      <w:pPr>
        <w:ind w:firstLine="567"/>
        <w:jc w:val="both"/>
      </w:pPr>
      <w:r>
        <w:t>Энд босго хувьсагч нь 17–18 насны сурагч-багшийн дундаж харьцаа, харин босго утга нь өгөгдлөөс үнэлэгдэх параметр юм. Босгоноос бага эсвэл тэнцүү харьцаатай үед багшийн ачаалал харьцангуй бага сургуулийн орчны регим, босгоноос дээш харьцаатай үед багшийн ачаалал харьцангуй өндөр сургуулийн орчны регим гэж ялгана. Боловсролын жил нь хоёр регимд хоёуланд нь эндоген гэж үзэгдэх тул эцэг, эхийн боловсролын дундаж хэрэгсэл хувьсагчийн үүрэг хэвээр хадгалагдана.</w:t>
      </w:r>
    </w:p>
    <w:p w14:paraId="4D9044CC" w14:textId="77777777" w:rsidR="000B782D" w:rsidRDefault="0018275F">
      <w:pPr>
        <w:ind w:firstLine="567"/>
        <w:jc w:val="both"/>
      </w:pPr>
      <w:r>
        <w:t>Босгыг урьдчилан оноож сонгохгүй, харин боломжит утгуудын сүлжээн хайлтаар тодорхойлно. Хэт бага ажиглалттай регим үүсэхээс сэргийлж босгоны хайлтыг босго хувьсагчийн 15–85 хувийн мужид хязгаарлана. Боломжит босго бүр дээр хоёр регимийн ХШХБК үнэлгээг хийж, нэгтгэн агшаасан алдааны квадратын нийлбэр хамгийн бага байх утгыг оновчтой босго болгон сонгоно.</w:t>
      </w:r>
    </w:p>
    <w:p w14:paraId="32AC2C2A" w14:textId="77777777" w:rsidR="000B782D" w:rsidRDefault="0018275F">
      <w:pPr>
        <w:tabs>
          <w:tab w:val="center" w:pos="4535"/>
          <w:tab w:val="right" w:pos="9071"/>
        </w:tabs>
      </w:pPr>
      <w:r>
        <w:tab/>
      </w:r>
      <m:oMath>
        <m:acc>
          <m:accPr>
            <m:chr m:val="̂"/>
          </m:accPr>
          <m:e>
            <m:r>
              <m:t>γ</m:t>
            </m:r>
          </m:e>
        </m:acc>
        <m:r>
          <m:rPr>
            <m:sty m:val="p"/>
          </m:rPr>
          <m:t>=</m:t>
        </m:r>
        <m:r>
          <m:rPr>
            <m:sty m:val="p"/>
          </m:rPr>
          <m:t>arg</m:t>
        </m:r>
        <m:limLow>
          <m:e>
            <m:r>
              <m:rPr>
                <m:sty m:val="p"/>
              </m:rPr>
              <m:t>min</m:t>
            </m:r>
          </m:e>
          <m:lim>
            <m:r>
              <m:t>γ</m:t>
            </m:r>
            <m:r>
              <m:rPr>
                <m:sty m:val="p"/>
              </m:rPr>
              <m:t>∈</m:t>
            </m:r>
            <m:r>
              <m:rPr>
                <m:sty m:val="p"/>
              </m:rPr>
              <m:t>Γ</m:t>
            </m:r>
          </m:lim>
        </m:limLow>
        <m:r>
          <m:t>S</m:t>
        </m:r>
        <m:r>
          <m:t>S</m:t>
        </m:r>
        <m:r>
          <m:t>R</m:t>
        </m:r>
        <m:r>
          <m:rPr>
            <m:sty m:val="p"/>
          </m:rPr>
          <m:t>(</m:t>
        </m:r>
        <m:r>
          <m:t>γ</m:t>
        </m:r>
        <m:r>
          <m:rPr>
            <m:sty m:val="p"/>
          </m:rPr>
          <m:t>)</m:t>
        </m:r>
        <m:r>
          <m:rPr>
            <m:sty m:val="p"/>
          </m:rPr>
          <m:t>,</m:t>
        </m:r>
        <m:r>
          <m:t> </m:t>
        </m:r>
        <m:r>
          <m:rPr>
            <m:sty m:val="p"/>
          </m:rPr>
          <m:t>Γ</m:t>
        </m:r>
        <m:r>
          <m:rPr>
            <m:sty m:val="p"/>
          </m:rPr>
          <m:t>=</m:t>
        </m:r>
        <m:r>
          <m:rPr>
            <m:sty m:val="p"/>
          </m:rPr>
          <m:t>[</m:t>
        </m:r>
        <m:sSub>
          <m:e>
            <m:r>
              <m:t>Q</m:t>
            </m:r>
          </m:e>
          <m:sub>
            <m:r>
              <m:t>0.15</m:t>
            </m:r>
          </m:sub>
        </m:sSub>
        <m:r>
          <m:rPr>
            <m:sty m:val="p"/>
          </m:rPr>
          <m:t>(</m:t>
        </m:r>
        <m:r>
          <m:t>q</m:t>
        </m:r>
        <m:r>
          <m:rPr>
            <m:sty m:val="p"/>
          </m:rPr>
          <m:t>)</m:t>
        </m:r>
        <m:r>
          <m:rPr>
            <m:sty m:val="p"/>
          </m:rPr>
          <m:t>,</m:t>
        </m:r>
        <m:sSub>
          <m:e>
            <m:r>
              <m:t>Q</m:t>
            </m:r>
          </m:e>
          <m:sub>
            <m:r>
              <m:t>0.85</m:t>
            </m:r>
          </m:sub>
        </m:sSub>
        <m:r>
          <m:rPr>
            <m:sty m:val="p"/>
          </m:rPr>
          <m:t>(</m:t>
        </m:r>
        <m:r>
          <m:t>q</m:t>
        </m:r>
        <m:r>
          <m:rPr>
            <m:sty m:val="p"/>
          </m:rPr>
          <m:t>)</m:t>
        </m:r>
        <m:r>
          <m:rPr>
            <m:sty m:val="p"/>
          </m:rPr>
          <m:t>]</m:t>
        </m:r>
        <m:r>
          <m:rPr>
            <m:sty m:val="p"/>
          </m:rPr>
          <m:t>,</m:t>
        </m:r>
        <m:r>
          <m:t> </m:t>
        </m:r>
        <m:sSub>
          <m:e>
            <m:r>
              <m:rPr>
                <m:sty m:val="p"/>
              </m:rPr>
              <m:t>Δ</m:t>
            </m:r>
          </m:e>
          <m:sub>
            <m:r>
              <m:t>β</m:t>
            </m:r>
          </m:sub>
        </m:sSub>
        <m:r>
          <m:rPr>
            <m:sty m:val="p"/>
          </m:rPr>
          <m:t>=</m:t>
        </m:r>
        <m:sSub>
          <m:e>
            <m:acc>
              <m:accPr>
                <m:chr m:val="̂"/>
              </m:accPr>
              <m:e>
                <m:r>
                  <m:t>β</m:t>
                </m:r>
              </m:e>
            </m:acc>
          </m:e>
          <m:sub>
            <m:r>
              <m:t>h</m:t>
            </m:r>
            <m:r>
              <m:t>i</m:t>
            </m:r>
            <m:r>
              <m:t>g</m:t>
            </m:r>
            <m:r>
              <m:t>h</m:t>
            </m:r>
          </m:sub>
        </m:sSub>
        <m:r>
          <m:rPr>
            <m:sty m:val="p"/>
          </m:rPr>
          <m:t>−</m:t>
        </m:r>
        <m:sSub>
          <m:e>
            <m:acc>
              <m:accPr>
                <m:chr m:val="̂"/>
              </m:accPr>
              <m:e>
                <m:r>
                  <m:t>β</m:t>
                </m:r>
              </m:e>
            </m:acc>
          </m:e>
          <m:sub>
            <m:r>
              <m:t>l</m:t>
            </m:r>
            <m:r>
              <m:t>o</m:t>
            </m:r>
            <m:r>
              <m:t>w</m:t>
            </m:r>
          </m:sub>
        </m:sSub>
      </m:oMath>
      <w:r>
        <w:tab/>
        <w:t>(8)</w:t>
      </w:r>
    </w:p>
    <w:p w14:paraId="122709DF" w14:textId="77777777" w:rsidR="000B782D" w:rsidRDefault="0018275F">
      <w:pPr>
        <w:ind w:firstLine="567"/>
        <w:jc w:val="both"/>
      </w:pPr>
      <w:r>
        <w:t>Регимүүдийн ялгааг хоёр регимийн боловсролын өгөөжийн зөрүүгээр хэмжинэ. Босго болон регимийн ялгааны статистик ач холбогдлыг төрсөн аймгийн түвшинд кластерласан бүүтстрап дахин түүвэрлэлтийн аргаар үнэлнэ. Үндсэн шинжилгээнд 399 удаагийн бүүтстрап давталт ашиглаж, итгэлийн интервал болон p-утгыг эмпирик тархалтаас тооцно.</w:t>
      </w:r>
    </w:p>
    <w:p w14:paraId="7EB275D7" w14:textId="77777777" w:rsidR="000B782D" w:rsidRDefault="0018275F">
      <w:pPr>
        <w:ind w:firstLine="567"/>
        <w:jc w:val="both"/>
      </w:pPr>
      <w:r>
        <w:t>Caner, Hansen (2004)-ийн алгоритмын бэлэн хэрэгжүүлэлт R болон Python-ийн түгээмэл багцуудад бүрэн хэлбэрээр байхгүй тул энэ судалгаанд тогтмол нөлөөг үлдэгдэлжүүлсэн, жинлэсэн, төрсөн аймгаар кластерласан гарын авлагын хэрэгжүүлэлт ашиглав. Иймд аргачлалыг эх зохиогчдын санаанд нийцүүлсэн ХХБР хэрэгжүүлэлт гэж тодорхойлж, босго хувьсагчийг цалингийн шууд шалтгаан бус, өгөөжийн ялгаатай регимийг ялгах шалгуур гэж тайлбарлана.</w:t>
      </w:r>
    </w:p>
    <w:p w14:paraId="1F5FC466" w14:textId="77777777" w:rsidR="000B782D" w:rsidRDefault="0018275F">
      <w:pPr>
        <w:pStyle w:val="Heading2"/>
        <w:spacing w:after="120"/>
      </w:pPr>
      <w:r>
        <w:t>2.5. Үр дүнгийн бат бөх байдлын шинжилгээний бүтэц</w:t>
      </w:r>
    </w:p>
    <w:p w14:paraId="37FE4A4E" w14:textId="77777777" w:rsidR="000B782D" w:rsidRDefault="0018275F">
      <w:pPr>
        <w:ind w:firstLine="567"/>
        <w:jc w:val="both"/>
      </w:pPr>
      <w:r>
        <w:t>Үр дүнгийн бат бөх байдлыг хэд хэдэн түвшинд шалгана. Нэгдүгээрт, ЭХБК, ХШХБК, ХХБР үнэлгээнүүдийн боловсролын өгөөжийн хэмжээ, чиглэл, ач холбогдлыг харьцуулна. Хоёрдугаарт, эхний шатны F статистикаар эцэг, эхийн боловсролын дундаж хэрэгсэл хувьсагчийн хүчийг шалгана. Гуравдугаарт, босгоны сүлжээн хайлт болон бүүтстрап тархалтаар γ утгын тогтвортой байдлыг үнэлнэ. Дөрөвдүгээрт, регимүүдийн өгөөжийн ялгааны итгэлийн интервал тэгийг агуулж байгаа эсэхийг шалгана. Эдгээр шалгалт нь боловсролын өгөөжийн ялгаа зөвхөн ЭХБК-ийн хазайлт, сул хэрэгсэл хувьсагч, эсвэл санамсаргүй босго сонголтоос үүсээгүй гэдгийг харуулахад чиглэнэ.</w:t>
      </w:r>
    </w:p>
    <w:p w14:paraId="31757697" w14:textId="77777777" w:rsidR="000B782D" w:rsidRDefault="0018275F">
      <w:r>
        <w:br w:type="page"/>
      </w:r>
    </w:p>
    <w:p w14:paraId="02535A0C"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2B23402" w14:textId="77777777" w:rsidR="000B782D" w:rsidRDefault="0018275F">
      <w:pPr>
        <w:pStyle w:val="Heading2"/>
        <w:spacing w:after="120"/>
      </w:pPr>
      <w:r>
        <w:t>3.1. Өгөгдлийн эх сурвалж</w:t>
      </w:r>
    </w:p>
    <w:p w14:paraId="19820CAB" w14:textId="77777777" w:rsidR="000B782D" w:rsidRDefault="0018275F">
      <w:pPr>
        <w:ind w:firstLine="567"/>
        <w:jc w:val="both"/>
      </w:pPr>
      <w:r>
        <w:t>Энэхүү судалгааны үндсэн өгөгдлийн эх сурвалж нь ҮСХ-ны Өрхийн нийгэм, эдийн засгийн судалгаа (ӨНЭЗС)-ны 2020, 2021, 2022, 2024 оны давалгаанууд юм. ӨНЭЗС нь өрхийн орлого, хөдөлмөр эрхлэлт, боловсрол, хүн ам зүйн мэдээллийг улсын төлөөлөлтэйгээр цуглуулдаг түүвэр судалгаа тул цалинтай ажиллагчдын боловсрол ба хөдөлмөрийн орлогын хамаарлыг микро түвшинд шинжлэх боломж олгоно.</w:t>
      </w:r>
    </w:p>
    <w:p w14:paraId="2D2CC1BB" w14:textId="77777777" w:rsidR="000B782D" w:rsidRDefault="0018275F">
      <w:pPr>
        <w:ind w:firstLine="567"/>
        <w:jc w:val="both"/>
      </w:pPr>
      <w:r>
        <w:t>Нэмэлт эх сурвалжаар аймаг, жилээр нэгтгэсэн ерөнхий боловсролын сургуулийн сурагчдын тоо болон үндсэн багшийн тооны мэдээллийг ашиглав. Уг мэдээллээс сурагч-багшийн харьцааг тооцож, тухайн хүний 17–18 насанд харгалзах төрсөн аймгийн сургуулийн орчны ачааллыг илэрхийлэх босго хувьсагч байгуулсан. Иймээс судалгааны өгөгдөл нь өрхийн түвшний ӨНЭЗС болон аймаг-жилийн сургуулийн нийлүүлэлтийн мэдээллийг холбосон бүтэцтэй.</w:t>
      </w:r>
    </w:p>
    <w:p w14:paraId="2910F2F5" w14:textId="77777777" w:rsidR="000B782D" w:rsidRDefault="0018275F">
      <w:pPr>
        <w:pStyle w:val="Heading2"/>
        <w:spacing w:after="120"/>
      </w:pPr>
      <w:r>
        <w:t>3.2. Түүврийн бүрдүүлэлт ба хамрах хүрээ</w:t>
      </w:r>
    </w:p>
    <w:p w14:paraId="0A457A8C" w14:textId="77777777" w:rsidR="000B782D" w:rsidRDefault="0018275F">
      <w:pPr>
        <w:ind w:firstLine="567"/>
        <w:jc w:val="both"/>
      </w:pPr>
      <w:r>
        <w:t>ӨНЭЗС-ийн анхны өрхийн бүрэлдэхүүний жагсаалтад өрхийн бүх гишүүн бүртгэгддэг. Үүнд хүүхэд, эцэг эх, эхнэр эсвэл нөхөр, ах дүү, өндөр настан, ажил эрхэлдэг болон ажил эрхэлдэггүй бүх гишүүд багтана. Энэ анхны жагсаалтаас 25–60 настай бөгөөд өрхийн тэргүүлэгчийн хүү эсвэл охин гэж бүртгэгдсэн хүмүүсийг зөвхөн ойлголтын түвшинд ялгаж үзвэл 11,350 ажиглалт байна. Гэвч энэ нь эцсийн шинжилгээний түүвэр биш, учир нь эдгээр хүмүүсийн зарим нь цалинтай ажил эрхлээгүй, заримд нь цалингийн мэдээлэл ажиглагдаагүй байна.</w:t>
      </w:r>
    </w:p>
    <w:p w14:paraId="267B02A9" w14:textId="77777777" w:rsidR="00972FBE" w:rsidRDefault="00D33DC4">
      <w:r>
        <w:t>Дараагийн шатанд боловсролын жил болон логаритмчилсан цалингийн мэдээлэл бүрэн ажиглагдсан 25–60 насны цалинтай ажиллагчдын өргөн түүврийг байгуулсан. Энэ түүврийн хэмжээ 40,779 бөгөөд өрхийн тэргүүлэгч, эхнэр эсвэл нөхөр, хүүхэд болон бусад гишүүд бүгд багтах боломжтой. Энэ шатанд эцэг, эхийн боловсрол заавал ажиглагдсан байх шаардлага тавиагүй тул уг түүвэр нь боловсролын өгөөжийн ерөнхий шинжилгээнд зориулсан өргөн цалингийн түүвэр юм.</w:t>
      </w:r>
    </w:p>
    <w:p w14:paraId="5821D0E7" w14:textId="77777777" w:rsidR="00972FBE" w:rsidRDefault="00D33DC4">
      <w:r>
        <w:t>Хэрэгсэл хувьсагч ашиглахын тулд тухайн ажиллагчийн эцэг эсвэл эхийн боловсролын мэдээлэл шаардлагатай болсон. Ийм мэдээлэл нь гол төлөв өрхийн тэргүүлэгчийн хүү эсвэл охин гэж бүртгэгдсэн ажиллагчдад ажиглагддаг тул өргөн цалингийн түүврээс эцэг, эхийн боловсрол, төрсөн аймаг, төрсөн үеийн бүлэг, судалгааны давалгаа болон хяналтын хувьсагчид бүрэн байгаа хүмүүсийг сонгов. Ингэхэд 3,710 ажиглалт бүхий эцэг, эхийн боловсролд суурилсан хэрэгсэл хувьсагчийн түүвэр үүссэн.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24582103" w14:textId="77777777" w:rsidR="00972FBE" w:rsidRDefault="00D33DC4">
      <w:r>
        <w:t>Эцсийн ХХБР үнэлгээнд зөвхөн эцэг, эхийн боловсролын мэдээлэл хангалттай биш, мөн тухайн хүний 17 болон 18 насанд харгалзах төрсөн аймгийн сурагч-багшийн харьцаа ажиглагдсан байх шаардлагатай. Иймээс хэрэгсэл хувьсагчийн түүврээс сургуулийн орчны босго хувьсагч бүрэн тооцогдсон ажиглалтыг үлдээхэд 3,188 ажиглалт бүхий эцсийн ХХБР босго түүвэр бүрдсэн.</w:t>
      </w:r>
    </w:p>
    <w:p w14:paraId="63F72390" w14:textId="77777777" w:rsidR="00972FBE" w:rsidRDefault="00D33DC4">
      <w:r>
        <w:t>Ийм түүврийн шилжилтийн улмаас судалгааны эцсийн хүн ам зүйн тайлбар нь бүх 25–60 насны цалинтай ажиллагчдыг бус, харин эцэг эсвэл эхийн боловсрол нь өрхийн бүрэлдэхүүний мэдээллээс сэргээгдэх боломжтой, мөн хүүхэд ахуйн сургуулийн орчны мэдээлэл нь төрсөн аймаг, төрсөн жилээр таарсан ажиллагчдыг илэрхийлнэ. Бодит насны бүтэц нь 25–41 насанд төвлөрч байгаа тул үр дүнг залуу болон дунд насны ажиллагчдын хүрээнд болгоомжтой тайлбарлах шаардлагатай.</w:t>
      </w:r>
    </w:p>
    <w:p w14:paraId="1B1C435A" w14:textId="77777777" w:rsidR="00972FBE" w:rsidRDefault="00D33DC4">
      <w:r/>
    </w:p>
    <w:p w14:paraId="265086B9" w14:textId="77777777" w:rsidR="00972FBE" w:rsidRDefault="00D33DC4">
      <w:pPr>
        <w:pStyle w:val="Heading2"/>
      </w:pPr>
      <w:r>
        <w:t>3.3. Үндсэн хувьсагчдын тодорхойлолт</w:t>
      </w:r>
    </w:p>
    <w:p w14:paraId="7A4D356E" w14:textId="77777777" w:rsidR="00972FBE" w:rsidRDefault="00D33DC4">
      <w:r>
        <w:t>Хамаарах хувьсагч нь сарын хөдөлмөрийн орлогын натурал логарифм юм. Үндсэн тайлбарлагч хувьсагч нь боловсролын жил бөгөөд энэ нь хувь хүний хуримтлуулсан албан боловсролын хугацааг жилээр илэрхийлнэ. Хяналтын хувьсагчид нь нас, насны квадрат, хүйс, гэрлэлтийн байдал, хотын суурьшлын үзүүлэлтээс бүрдэнэ. Түүнчлэн төрсөн аймаг, төрсөн үеийн бүлэг, судалгааны давалгааны тогтмол нөлөөг загварт оруулж, бүх үнэлгээнд өрхийн түүврийн жинг ашигласан. Эцэг, эхийн боловсролын дундаж нь энэ судалгааны хэрэгсэл хувьсагч бөгөөд тооцооллын ерөнхий хэлбэр нь дараах байдалтай байна:</w:t>
      </w:r>
    </w:p>
    <w:p w14:paraId="7F07AF13" w14:textId="77777777" w:rsidR="000B782D" w:rsidRDefault="0018275F">
      <w:pPr>
        <w:tabs>
          <w:tab w:val="center" w:pos="4535"/>
          <w:tab w:val="right" w:pos="9071"/>
        </w:tabs>
      </w:pPr>
      <w:r>
        <w:tab/>
      </w:r>
      <m:oMath>
        <m:r>
          <m:t>P</m:t>
        </m:r>
        <m:sSub>
          <m:e>
            <m:r>
              <m:t>E</m:t>
            </m:r>
          </m:e>
          <m:sub>
            <m:r>
              <m:t>i</m:t>
            </m:r>
          </m:sub>
        </m:sSub>
        <m:r>
          <m:rPr>
            <m:sty m:val="p"/>
          </m:rPr>
          <m:t>=</m:t>
        </m:r>
        <m:f>
          <m:fPr>
            <m:type m:val="bar"/>
          </m:fPr>
          <m:num>
            <m:sSubSup>
              <m:e>
                <m:r>
                  <m:t>E</m:t>
                </m:r>
              </m:e>
              <m:sub>
                <m:r>
                  <m:t>i</m:t>
                </m:r>
              </m:sub>
              <m:sup>
                <m:r>
                  <m:t>f</m:t>
                </m:r>
                <m:r>
                  <m:t>a</m:t>
                </m:r>
                <m:r>
                  <m:t>t</m:t>
                </m:r>
                <m:r>
                  <m:t>h</m:t>
                </m:r>
                <m:r>
                  <m:t>e</m:t>
                </m:r>
                <m:r>
                  <m:t>r</m:t>
                </m:r>
              </m:sup>
            </m:sSubSup>
            <m:sSubSup>
              <m:e>
                <m:r>
                  <m:t>I</m:t>
                </m:r>
              </m:e>
              <m:sub>
                <m:r>
                  <m:t>i</m:t>
                </m:r>
              </m:sub>
              <m:sup>
                <m:r>
                  <m:t>f</m:t>
                </m:r>
                <m:r>
                  <m:t>a</m:t>
                </m:r>
                <m:r>
                  <m:t>t</m:t>
                </m:r>
                <m:r>
                  <m:t>h</m:t>
                </m:r>
                <m:r>
                  <m:t>e</m:t>
                </m:r>
                <m:r>
                  <m:t>r</m:t>
                </m:r>
              </m:sup>
            </m:sSubSup>
            <m:r>
              <m:rPr>
                <m:sty m:val="p"/>
              </m:rPr>
              <m:t>+</m:t>
            </m:r>
            <m:sSubSup>
              <m:e>
                <m:r>
                  <m:t>E</m:t>
                </m:r>
              </m:e>
              <m:sub>
                <m:r>
                  <m:t>i</m:t>
                </m:r>
              </m:sub>
              <m:sup>
                <m:r>
                  <m:t>m</m:t>
                </m:r>
                <m:r>
                  <m:t>o</m:t>
                </m:r>
                <m:r>
                  <m:t>t</m:t>
                </m:r>
                <m:r>
                  <m:t>h</m:t>
                </m:r>
                <m:r>
                  <m:t>e</m:t>
                </m:r>
                <m:r>
                  <m:t>r</m:t>
                </m:r>
              </m:sup>
            </m:sSubSup>
            <m:sSubSup>
              <m:e>
                <m:r>
                  <m:t>I</m:t>
                </m:r>
              </m:e>
              <m:sub>
                <m:r>
                  <m:t>i</m:t>
                </m:r>
              </m:sub>
              <m:sup>
                <m:r>
                  <m:t>m</m:t>
                </m:r>
                <m:r>
                  <m:t>o</m:t>
                </m:r>
                <m:r>
                  <m:t>t</m:t>
                </m:r>
                <m:r>
                  <m:t>h</m:t>
                </m:r>
                <m:r>
                  <m:t>e</m:t>
                </m:r>
                <m:r>
                  <m:t>r</m:t>
                </m:r>
              </m:sup>
            </m:sSubSup>
          </m:num>
          <m:den>
            <m:sSubSup>
              <m:e>
                <m:r>
                  <m:t>I</m:t>
                </m:r>
              </m:e>
              <m:sub>
                <m:r>
                  <m:t>i</m:t>
                </m:r>
              </m:sub>
              <m:sup>
                <m:r>
                  <m:t>f</m:t>
                </m:r>
                <m:r>
                  <m:t>a</m:t>
                </m:r>
                <m:r>
                  <m:t>t</m:t>
                </m:r>
                <m:r>
                  <m:t>h</m:t>
                </m:r>
                <m:r>
                  <m:t>e</m:t>
                </m:r>
                <m:r>
                  <m:t>r</m:t>
                </m:r>
              </m:sup>
            </m:sSubSup>
            <m:r>
              <m:rPr>
                <m:sty m:val="p"/>
              </m:rPr>
              <m:t>+</m:t>
            </m:r>
            <m:sSubSup>
              <m:e>
                <m:r>
                  <m:t>I</m:t>
                </m:r>
              </m:e>
              <m:sub>
                <m:r>
                  <m:t>i</m:t>
                </m:r>
              </m:sub>
              <m:sup>
                <m:r>
                  <m:t>m</m:t>
                </m:r>
                <m:r>
                  <m:t>o</m:t>
                </m:r>
                <m:r>
                  <m:t>t</m:t>
                </m:r>
                <m:r>
                  <m:t>h</m:t>
                </m:r>
                <m:r>
                  <m:t>e</m:t>
                </m:r>
                <m:r>
                  <m:t>r</m:t>
                </m:r>
              </m:sup>
            </m:sSubSup>
          </m:den>
        </m:f>
      </m:oMath>
      <w:r>
        <w:tab/>
        <w:t>(9)</w:t>
      </w:r>
    </w:p>
    <w:p w14:paraId="64D45E51" w14:textId="77777777" w:rsidR="000B782D" w:rsidRDefault="0018275F">
      <w:pPr>
        <w:ind w:firstLine="567"/>
        <w:jc w:val="both"/>
      </w:pPr>
      <w:r>
        <w:t>Энд PE нь эцэг, эхийн боловсролын дундаж, E нь эцэг эсвэл эхийн боловсролын жил, I нь тухайн мэдээлэл ажиглагдсан эсэхийг илэрхийлэх индикатор юм. Энэ хувьсагч боловсролын сонголтод урьдчилан нөлөөлөх гэр бүлийн суурь нөхцөлийг төлөөлөх боловч цалинд гэр бүлийн сүлжээ, хүмүүжил, ажиглагдахгүй чадвараар дамжин шууд нөлөөлөх боломжийг бүрэн үгүйсгэхгүй тул тайлбар нь болгоомжтой байна.</w:t>
      </w:r>
    </w:p>
    <w:p w14:paraId="4233315A" w14:textId="77777777" w:rsidR="000B782D" w:rsidRDefault="0018275F">
      <w:pPr>
        <w:pStyle w:val="Heading2"/>
        <w:spacing w:after="120"/>
      </w:pPr>
      <w:r>
        <w:t>3.4. Босго хувьсагчийн байгууламж</w:t>
      </w:r>
    </w:p>
    <w:p w14:paraId="40F92110" w14:textId="77777777" w:rsidR="000B782D" w:rsidRDefault="0018275F">
      <w:pPr>
        <w:ind w:firstLine="567"/>
        <w:jc w:val="both"/>
      </w:pPr>
      <w:r>
        <w:t>Босго хувьсагч нь тухайн хүний 17–18 насанд харгалзах төрсөн аймгийн сурагч-багшийн дундаж харьцаа юм. Аймаг, жил бүрийн сурагч-багшийн харьцааг сурагчдын тоог үндсэн багшийн тоонд харьцуулж байгуулсан. Энэ харьцаа өндөр байх тусам нэг багшид ногдох сурагчийн тоо их, өөрөөр хэлбэл сургуулийн орчны ачаалал өндөр гэж тайлбарлагдана.</w:t>
      </w:r>
    </w:p>
    <w:p w14:paraId="307634B6" w14:textId="77777777" w:rsidR="00972FBE" w:rsidRDefault="00D33DC4">
      <w:pPr>
        <w:tabs>
          <w:tab w:val="center" w:pos="4535"/>
          <w:tab w:val="right" w:pos="9071"/>
        </w:tabs>
      </w:pPr>
      <w:r>
        <w:tab/>
      </w:r>
      <m:oMath>
        <m:r>
          <m:t>S</m:t>
        </m:r>
        <m:r>
          <m:t>T</m:t>
        </m:r>
        <m:sSub>
          <m:e>
            <m:r>
              <m:t>R</m:t>
            </m:r>
          </m:e>
          <m:sub>
            <m:r>
              <m:t>a</m:t>
            </m:r>
            <m:r>
              <m:rPr>
                <m:sty m:val="p"/>
              </m:rPr>
              <m:t>,</m:t>
            </m:r>
            <m:r>
              <m:t>y</m:t>
            </m:r>
          </m:sub>
        </m:sSub>
        <m:r>
          <m:rPr>
            <m:sty m:val="p"/>
          </m:rPr>
          <m:t>=</m:t>
        </m:r>
        <m:f>
          <m:fPr>
            <m:type m:val="bar"/>
          </m:fPr>
          <m:num>
            <m:r>
              <m:t>S</m:t>
            </m:r>
            <m:r>
              <m:t>t</m:t>
            </m:r>
            <m:r>
              <m:t>u</m:t>
            </m:r>
            <m:r>
              <m:t>d</m:t>
            </m:r>
            <m:r>
              <m:t>e</m:t>
            </m:r>
            <m:r>
              <m:t>n</m:t>
            </m:r>
            <m:r>
              <m:t>t</m:t>
            </m:r>
            <m:sSub>
              <m:e>
                <m:r>
                  <m:t>s</m:t>
                </m:r>
              </m:e>
              <m:sub>
                <m:r>
                  <m:t>a</m:t>
                </m:r>
                <m:r>
                  <m:rPr>
                    <m:sty m:val="p"/>
                  </m:rPr>
                  <m:t>,</m:t>
                </m:r>
                <m:r>
                  <m:t>y</m:t>
                </m:r>
              </m:sub>
            </m:sSub>
          </m:num>
          <m:den>
            <m:r>
              <m:t>T</m:t>
            </m:r>
            <m:r>
              <m:t>e</m:t>
            </m:r>
            <m:r>
              <m:t>a</m:t>
            </m:r>
            <m:r>
              <m:t>c</m:t>
            </m:r>
            <m:r>
              <m:t>h</m:t>
            </m:r>
            <m:r>
              <m:t>e</m:t>
            </m:r>
            <m:r>
              <m:t>r</m:t>
            </m:r>
            <m:sSub>
              <m:e>
                <m:r>
                  <m:t>s</m:t>
                </m:r>
              </m:e>
              <m:sub>
                <m:r>
                  <m:t>a</m:t>
                </m:r>
                <m:r>
                  <m:rPr>
                    <m:sty m:val="p"/>
                  </m:rPr>
                  <m:t>,</m:t>
                </m:r>
                <m:r>
                  <m:t>y</m:t>
                </m:r>
              </m:sub>
            </m:sSub>
          </m:den>
        </m:f>
      </m:oMath>
      <w:r>
        <w:tab/>
        <w:t>(10)</w:t>
      </w:r>
    </w:p>
    <w:p w14:paraId="41D0F20C" w14:textId="77777777" w:rsidR="00972FBE" w:rsidRDefault="00D33DC4">
      <w:r>
        <w:t>Дараа нь тухайн хүний төрсөн аймаг болон төрсөн жилийг ашиглан 17 болон 18 насанд нь харгалзах хоёр жилийн сурагч-багшийн харьцааг авч, тэдгээрийн дунджийг босго хувьсагч болгосон. Энэхүү сонголт нь дунд боловсролоос дээд боловсрол эсвэл хөдөлмөрийн зах зээл рүү шилжихийн өмнөх сургуулийн орчныг төлөөлөх зорилготой.</w:t>
      </w:r>
    </w:p>
    <w:p w14:paraId="07E29E97" w14:textId="77777777" w:rsidR="00972FBE" w:rsidRDefault="00D33DC4">
      <w:pPr>
        <w:tabs>
          <w:tab w:val="center" w:pos="4535"/>
          <w:tab w:val="right" w:pos="9071"/>
        </w:tabs>
      </w:pPr>
      <w:r>
        <w:tab/>
      </w:r>
      <m:oMath>
        <m:sSub>
          <m:e>
            <m:r>
              <m:t>q</m:t>
            </m:r>
          </m:e>
          <m:sub>
            <m:r>
              <m:t>i</m:t>
            </m:r>
          </m:sub>
        </m:sSub>
        <m:r>
          <m:rPr>
            <m:sty m:val="p"/>
          </m:rPr>
          <m:t>=</m:t>
        </m:r>
        <m:f>
          <m:fPr>
            <m:type m:val="bar"/>
          </m:fPr>
          <m:num>
            <m:r>
              <m:t>1</m:t>
            </m:r>
          </m:num>
          <m:den>
            <m:r>
              <m:t>2</m:t>
            </m:r>
          </m:den>
        </m:f>
        <m:d>
          <m:dPr>
            <m:begChr m:val="("/>
            <m:sepChr m:val=""/>
            <m:endChr m:val=")"/>
            <m:grow/>
          </m:dPr>
          <m:e>
            <m:r>
              <m:t>S</m:t>
            </m:r>
            <m:r>
              <m:t>T</m:t>
            </m:r>
            <m:sSub>
              <m:e>
                <m:r>
                  <m:t>R</m:t>
                </m:r>
              </m:e>
              <m:sub>
                <m:r>
                  <m:t>a</m:t>
                </m:r>
                <m:r>
                  <m:rPr>
                    <m:sty m:val="p"/>
                  </m:rPr>
                  <m:t>(</m:t>
                </m:r>
                <m:r>
                  <m:t>i</m:t>
                </m:r>
                <m:r>
                  <m:rPr>
                    <m:sty m:val="p"/>
                  </m:rPr>
                  <m:t>)</m:t>
                </m:r>
                <m:r>
                  <m:rPr>
                    <m:sty m:val="p"/>
                  </m:rPr>
                  <m:t>,</m:t>
                </m:r>
                <m:r>
                  <m:t> </m:t>
                </m:r>
                <m:sSub>
                  <m:e>
                    <m:r>
                      <m:t>b</m:t>
                    </m:r>
                  </m:e>
                  <m:sub>
                    <m:r>
                      <m:t>i</m:t>
                    </m:r>
                  </m:sub>
                </m:sSub>
                <m:r>
                  <m:rPr>
                    <m:sty m:val="p"/>
                  </m:rPr>
                  <m:t>+</m:t>
                </m:r>
                <m:r>
                  <m:t>17</m:t>
                </m:r>
              </m:sub>
            </m:sSub>
            <m:r>
              <m:rPr>
                <m:sty m:val="p"/>
              </m:rPr>
              <m:t>+</m:t>
            </m:r>
            <m:r>
              <m:t>S</m:t>
            </m:r>
            <m:r>
              <m:t>T</m:t>
            </m:r>
            <m:sSub>
              <m:e>
                <m:r>
                  <m:t>R</m:t>
                </m:r>
              </m:e>
              <m:sub>
                <m:r>
                  <m:t>a</m:t>
                </m:r>
                <m:r>
                  <m:rPr>
                    <m:sty m:val="p"/>
                  </m:rPr>
                  <m:t>(</m:t>
                </m:r>
                <m:r>
                  <m:t>i</m:t>
                </m:r>
                <m:r>
                  <m:rPr>
                    <m:sty m:val="p"/>
                  </m:rPr>
                  <m:t>)</m:t>
                </m:r>
                <m:r>
                  <m:rPr>
                    <m:sty m:val="p"/>
                  </m:rPr>
                  <m:t>,</m:t>
                </m:r>
                <m:r>
                  <m:t> </m:t>
                </m:r>
                <m:sSub>
                  <m:e>
                    <m:r>
                      <m:t>b</m:t>
                    </m:r>
                  </m:e>
                  <m:sub>
                    <m:r>
                      <m:t>i</m:t>
                    </m:r>
                  </m:sub>
                </m:sSub>
                <m:r>
                  <m:rPr>
                    <m:sty m:val="p"/>
                  </m:rPr>
                  <m:t>+</m:t>
                </m:r>
                <m:r>
                  <m:t>18</m:t>
                </m:r>
              </m:sub>
            </m:sSub>
          </m:e>
        </m:d>
      </m:oMath>
      <w:r>
        <w:tab/>
        <w:t>(11)</w:t>
      </w:r>
    </w:p>
    <w:p w14:paraId="1BEAAD5F" w14:textId="77777777" w:rsidR="00972FBE" w:rsidRDefault="00D33DC4">
      <w:r>
        <w:t>Энд q нь ХХБР загварт ашиглах босго хувьсагч, a нь төрсөн аймаг, b нь төрсөн жил юм. Уг хувьсагч нь боловсролын жил, цалин, эсвэл эцэг, эхийн боловсролоос шууд байгуулагдаагүй тул хэрэгсэл хувьсагчтай давхцахгүй. Гэвч энэ нь хувь хүний түвшний санамсаргүй өөрчлөлт биш, төрсөн аймаг болон тухайн насанд харгалзах жилийн сургуулийн нийлүүлэлтийн үзүүлэлт учраас цалингийн шууд шалтгаан гэж тайлбарлахгүй.</w:t>
      </w:r>
    </w:p>
    <w:p w14:paraId="1509D6ED" w14:textId="77777777" w:rsidR="00972FBE" w:rsidRDefault="00D33DC4">
      <w:r>
        <w:t>Эцсийн ХХБР түүвэр 3,188 ажиглалт, 22 төрсөн аймаг, 4 төрсөн үеийн бүлэг, 4 судалгааны давалгааг хамарна. Ажиллагчдын нас 25–41, төрсөн он 1983–1999, харин 17–18 насанд харгалзах сургуулийн орчны жил 2001–2017 оны хооронд байна. Сурагч-багшийн дундаж харьцааны медиан 20.51, доод дөрөвний нэг 18.48, дээд дөрөвний нэг 23.88 байгаа нь түүвэр дотор сургуулийн орчны ачаалал хангалттай хэлбэлзэлтэй болохыг харуулна.</w:t>
      </w:r>
    </w:p>
    <w:p w14:paraId="35870B87" w14:textId="77777777" w:rsidR="00972FBE" w:rsidRDefault="00D33DC4">
      <w:r>
        <w:t>Мөн босго хувьсагчийн боловсролын жилтэй хамаарал −0.049, эцэг, эхийн боловсролын дундажтай хамаарал 0.006, логаритмчилсан цалинтай хамаарал 0.023 байгаа нь уг хувьсагч үндсэн тайлбарлагч, хэрэгсэл хувьсагч, үр дүнгийн хувьсагчтай механикаар давхцаагүйг харуулна. Иймд сурагч-багшийн харьцааг хэрэгсэл хувьсагч бус, зөвхөн боловсролын өгөөжийн ялгаатай регимийг ялгах босго хувьсагч болгон ашиглав.</w:t>
      </w:r>
    </w:p>
    <w:p w14:paraId="18D2142F" w14:textId="77777777" w:rsidR="000B782D" w:rsidRDefault="0018275F">
      <w:pPr>
        <w:pStyle w:val="Heading2"/>
        <w:spacing w:after="120"/>
      </w:pPr>
      <w:r>
        <w:t>3.5. Өгөгдлийн товч статистик ба түүврийн тайлбар</w:t>
      </w:r>
    </w:p>
    <w:p w14:paraId="4E5D1641" w14:textId="77777777" w:rsidR="000B782D" w:rsidRDefault="0018275F">
      <w:pPr>
        <w:ind w:firstLine="567"/>
        <w:jc w:val="both"/>
      </w:pPr>
      <w:r>
        <w:t>Түүврийн бүрдүүлэлтийн дарааллыг Хүснэгт 1-д нэгтгэн харуулав. Энэхүү хүснэгт нь яагаад анхны өрхийн бүрэлдэхүүний тоо, өргөн цалингийн түүвэр, хэрэгсэл хувьсагчийн түүвэр болон эцсийн ХХБР түүврийн хооронд хэмжээний том ялгаа үүсэж байгааг тайлбарлах зорилготой.</w:t>
      </w:r>
    </w:p>
    <w:p w14:paraId="642BAAE1" w14:textId="77777777" w:rsidR="000B782D" w:rsidRDefault="0018275F">
      <w:pPr>
        <w:spacing w:before="240" w:after="60" w:line="276" w:lineRule="auto"/>
      </w:pPr>
      <w:r>
        <w:t>Хүснэгт 1  Түүврийн бүрдүүлэлтийн дараалал</w:t>
      </w:r>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35109F8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r>
              <w:t>Шат</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Түүврийн тайлбар</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Үндсэн шалгуур</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r>
              <w:t>N</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Шинжилгээний үүрэг</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Анхаарах 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Эх сурвалж</w:t>
            </w:r>
          </w:p>
        </w:tc>
      </w:tr>
      <w:tr w:rsidR="000B782D" w14:paraId="6CB553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Анхны өрхийн бүрэлдэхүүний сан</w:t>
            </w:r>
          </w:p>
        </w:tc>
        <w:tc>
          <w:tcPr>
            <w:tcW w:w="850" w:type="dxa"/>
            <w:tcBorders>
              <w:top w:val="single" w:sz="4" w:space="0" w:color="000000"/>
              <w:left w:val="single" w:sz="4" w:space="0" w:color="000000"/>
              <w:bottom w:val="single" w:sz="4" w:space="0" w:color="000000"/>
              <w:right w:val="single" w:sz="4" w:space="0" w:color="000000"/>
            </w:tcBorders>
            <w:vAlign w:val="center"/>
          </w:tcPr>
          <w:p>
            <w:r>
              <w:t>25–60 настай, өрхийн тэргүүлэгчийн хүү/охин гэж бүртгэгдсэн бүх хүн</w:t>
            </w:r>
          </w:p>
        </w:tc>
        <w:tc>
          <w:tcPr>
            <w:tcW w:w="850" w:type="dxa"/>
            <w:tcBorders>
              <w:top w:val="single" w:sz="4" w:space="0" w:color="000000"/>
              <w:left w:val="single" w:sz="4" w:space="0" w:color="000000"/>
              <w:bottom w:val="single" w:sz="4" w:space="0" w:color="000000"/>
              <w:right w:val="single" w:sz="4" w:space="0" w:color="000000"/>
            </w:tcBorders>
            <w:vAlign w:val="center"/>
          </w:tcPr>
          <w:p>
            <w:r>
              <w:t>Нас ба өрхийн харилцааны мэдээлэл</w:t>
            </w:r>
          </w:p>
        </w:tc>
        <w:tc>
          <w:tcPr>
            <w:tcW w:w="1134" w:type="dxa"/>
            <w:tcBorders>
              <w:top w:val="single" w:sz="4" w:space="0" w:color="000000"/>
              <w:left w:val="single" w:sz="4" w:space="0" w:color="000000"/>
              <w:bottom w:val="single" w:sz="4" w:space="0" w:color="000000"/>
              <w:right w:val="single" w:sz="4" w:space="0" w:color="000000"/>
            </w:tcBorders>
            <w:vAlign w:val="center"/>
          </w:tcPr>
          <w:p>
            <w:r>
              <w:t>11,350</w:t>
            </w:r>
          </w:p>
        </w:tc>
        <w:tc>
          <w:tcPr>
            <w:tcW w:w="1020" w:type="dxa"/>
            <w:tcBorders>
              <w:top w:val="single" w:sz="4" w:space="0" w:color="000000"/>
              <w:left w:val="single" w:sz="4" w:space="0" w:color="000000"/>
              <w:bottom w:val="single" w:sz="4" w:space="0" w:color="000000"/>
              <w:right w:val="single" w:sz="4" w:space="0" w:color="000000"/>
            </w:tcBorders>
            <w:vAlign w:val="center"/>
          </w:tcPr>
          <w:p>
            <w:r>
              <w:t>Түүврийн эхний ойлголтын хүрээ</w:t>
            </w:r>
          </w:p>
        </w:tc>
        <w:tc>
          <w:tcPr>
            <w:tcW w:w="850" w:type="dxa"/>
            <w:tcBorders>
              <w:top w:val="single" w:sz="4" w:space="0" w:color="000000"/>
              <w:left w:val="single" w:sz="4" w:space="0" w:color="000000"/>
              <w:bottom w:val="single" w:sz="4" w:space="0" w:color="000000"/>
              <w:right w:val="single" w:sz="4" w:space="0" w:color="000000"/>
            </w:tcBorders>
            <w:vAlign w:val="center"/>
          </w:tcPr>
          <w:p>
            <w:r>
              <w:t>Цалинтай ажилтай байх албагүй</w:t>
            </w:r>
          </w:p>
        </w:tc>
        <w:tc>
          <w:tcPr>
            <w:tcW w:w="964" w:type="dxa"/>
            <w:tcBorders>
              <w:top w:val="single" w:sz="4" w:space="0" w:color="000000"/>
              <w:left w:val="single" w:sz="4" w:space="0" w:color="000000"/>
              <w:bottom w:val="single" w:sz="4" w:space="0" w:color="000000"/>
              <w:right w:val="single" w:sz="4" w:space="0" w:color="000000"/>
            </w:tcBorders>
            <w:vAlign w:val="center"/>
          </w:tcPr>
          <w:p>
            <w:r>
              <w:t>ӨНЭЗС өрхийн бүрэлдэхүүн</w:t>
            </w:r>
          </w:p>
        </w:tc>
      </w:tr>
      <w:tr w:rsidR="000B782D" w14:paraId="68CD40D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Өргөн цалингийн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Боловсролын жил ба логаритмчилсан цалинтай 25–60 насны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r>
              <w:t>Цалин, боловсрол, ажил эрхлэлтийн мэдээлэл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r>
              <w:t>40,779</w:t>
            </w:r>
          </w:p>
        </w:tc>
        <w:tc>
          <w:tcPr>
            <w:tcW w:w="1020" w:type="dxa"/>
            <w:tcBorders>
              <w:top w:val="single" w:sz="4" w:space="0" w:color="000000"/>
              <w:left w:val="single" w:sz="4" w:space="0" w:color="000000"/>
              <w:bottom w:val="single" w:sz="4" w:space="0" w:color="000000"/>
              <w:right w:val="single" w:sz="4" w:space="0" w:color="000000"/>
            </w:tcBorders>
            <w:vAlign w:val="center"/>
          </w:tcPr>
          <w:p>
            <w:r>
              <w:t>Боловсрол-цалингийн ерөнхий шинжилгээ</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 эхийн боловсрол заавал шаардахгүй</w:t>
            </w:r>
          </w:p>
        </w:tc>
        <w:tc>
          <w:tcPr>
            <w:tcW w:w="964" w:type="dxa"/>
            <w:tcBorders>
              <w:top w:val="single" w:sz="4" w:space="0" w:color="000000"/>
              <w:left w:val="single" w:sz="4" w:space="0" w:color="000000"/>
              <w:bottom w:val="single" w:sz="4" w:space="0" w:color="000000"/>
              <w:right w:val="single" w:sz="4" w:space="0" w:color="000000"/>
            </w:tcBorders>
            <w:vAlign w:val="center"/>
          </w:tcPr>
          <w:p>
            <w:r>
              <w:t>ӨНЭЗС 2020–2024</w:t>
            </w:r>
          </w:p>
        </w:tc>
      </w:tr>
      <w:tr w:rsidR="000B782D" w14:paraId="0217E00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 эсвэл эхийн боловсрол нь өрхийн мэдээллээс сэргээгдэх боломжтой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Эцэг/эхийн боловсрол, төрсөн аймаг, төрсөн үе, давалгаа, хяналт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r>
              <w:t>3,710</w:t>
            </w:r>
          </w:p>
        </w:tc>
        <w:tc>
          <w:tcPr>
            <w:tcW w:w="1020" w:type="dxa"/>
            <w:tcBorders>
              <w:top w:val="single" w:sz="4" w:space="0" w:color="000000"/>
              <w:left w:val="single" w:sz="4" w:space="0" w:color="000000"/>
              <w:bottom w:val="single" w:sz="4" w:space="0" w:color="000000"/>
              <w:right w:val="single" w:sz="4" w:space="0" w:color="000000"/>
            </w:tcBorders>
            <w:vAlign w:val="center"/>
          </w:tcPr>
          <w:p>
            <w:r>
              <w:t>ЭХБК, ХШХБК, эхний шатны шалгалт</w:t>
            </w:r>
          </w:p>
        </w:tc>
        <w:tc>
          <w:tcPr>
            <w:tcW w:w="850" w:type="dxa"/>
            <w:tcBorders>
              <w:top w:val="single" w:sz="4" w:space="0" w:color="000000"/>
              <w:left w:val="single" w:sz="4" w:space="0" w:color="000000"/>
              <w:bottom w:val="single" w:sz="4" w:space="0" w:color="000000"/>
              <w:right w:val="single" w:sz="4" w:space="0" w:color="000000"/>
            </w:tcBorders>
            <w:vAlign w:val="center"/>
          </w:tcPr>
          <w:p>
            <w:r>
              <w:t>Насны бүтэц 25–41 талдаа төвлөрнө</w:t>
            </w:r>
          </w:p>
        </w:tc>
        <w:tc>
          <w:tcPr>
            <w:tcW w:w="964"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шалгалт</w:t>
            </w:r>
          </w:p>
        </w:tc>
      </w:tr>
      <w:tr w:rsidR="000B782D" w14:paraId="31D05BD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Эцсийн ХХБР босго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түүврээс 17–18 насны сургуулийн орчны мэдээлэл таарсан хүмүүс</w:t>
            </w:r>
          </w:p>
        </w:tc>
        <w:tc>
          <w:tcPr>
            <w:tcW w:w="850"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 17 ба 18 насанд ажиглагдсан</w:t>
            </w:r>
          </w:p>
        </w:tc>
        <w:tc>
          <w:tcPr>
            <w:tcW w:w="1134" w:type="dxa"/>
            <w:tcBorders>
              <w:top w:val="single" w:sz="4" w:space="0" w:color="000000"/>
              <w:left w:val="single" w:sz="4" w:space="0" w:color="000000"/>
              <w:bottom w:val="single" w:sz="4" w:space="0" w:color="000000"/>
              <w:right w:val="single" w:sz="4" w:space="0" w:color="000000"/>
            </w:tcBorders>
            <w:vAlign w:val="center"/>
          </w:tcPr>
          <w:p>
            <w:r>
              <w:t>3,188</w:t>
            </w:r>
          </w:p>
        </w:tc>
        <w:tc>
          <w:tcPr>
            <w:tcW w:w="1020" w:type="dxa"/>
            <w:tcBorders>
              <w:top w:val="single" w:sz="4" w:space="0" w:color="000000"/>
              <w:left w:val="single" w:sz="4" w:space="0" w:color="000000"/>
              <w:bottom w:val="single" w:sz="4" w:space="0" w:color="000000"/>
              <w:right w:val="single" w:sz="4" w:space="0" w:color="000000"/>
            </w:tcBorders>
            <w:vAlign w:val="center"/>
          </w:tcPr>
          <w:p>
            <w:r>
              <w:t>ХХБР үндсэн үнэлгээ</w:t>
            </w:r>
          </w:p>
        </w:tc>
        <w:tc>
          <w:tcPr>
            <w:tcW w:w="850" w:type="dxa"/>
            <w:tcBorders>
              <w:top w:val="single" w:sz="4" w:space="0" w:color="000000"/>
              <w:left w:val="single" w:sz="4" w:space="0" w:color="000000"/>
              <w:bottom w:val="single" w:sz="4" w:space="0" w:color="000000"/>
              <w:right w:val="single" w:sz="4" w:space="0" w:color="000000"/>
            </w:tcBorders>
            <w:vAlign w:val="center"/>
          </w:tcPr>
          <w:p>
            <w:r>
              <w:t>Босго хувьсагч нь цалингийн шууд шалтгаан биш</w:t>
            </w:r>
          </w:p>
        </w:tc>
        <w:tc>
          <w:tcPr>
            <w:tcW w:w="964"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r>
    </w:tbl>
    <w:p w14:paraId="13E92A40" w14:textId="77777777" w:rsidR="000B782D" w:rsidRDefault="0018275F">
      <w:pPr>
        <w:spacing w:before="60" w:after="240" w:line="276" w:lineRule="auto"/>
        <w:jc w:val="right"/>
      </w:pPr>
      <w:r>
        <w:t>Эх сурвалж: Оюутны тооцоолол</w:t>
      </w:r>
    </w:p>
    <w:p w14:paraId="7306A201" w14:textId="14C1367B" w:rsidR="000B782D" w:rsidRDefault="0018275F">
      <w:pPr>
        <w:ind w:firstLine="567"/>
        <w:jc w:val="both"/>
      </w:pPr>
      <w:r>
        <w:t>Хүснэгт 2-т судалгаанд ашигласан үндсэн хувьсагчдын үүрэг, байгууламж, тайлбарын хүрээг нэгтгэн харуулав. Эдгээр хувьсагчдаас боловсролын жил нь эндоген үндсэн тайлбарлагч, эцэг, эхийн боловсролын дундаж нь хэрэгсэл хувьсагч, 17–18 насны сурагч-багшийн дундаж харьцаа нь босго хувьсагчийн үүрэгтэй.</w:t>
      </w:r>
    </w:p>
    <w:p w14:paraId="5353CCD2" w14:textId="50E580B6" w:rsidR="00371247" w:rsidRDefault="00371247">
      <w:pPr>
        <w:ind w:firstLine="567"/>
        <w:jc w:val="both"/>
      </w:pPr>
      <w:r/>
    </w:p>
    <w:p w14:paraId="0F879997" w14:textId="53632226" w:rsidR="00371247" w:rsidRDefault="00371247">
      <w:pPr>
        <w:ind w:firstLine="567"/>
        <w:jc w:val="both"/>
      </w:pPr>
      <w:r/>
    </w:p>
    <w:p w14:paraId="1D21F65B" w14:textId="45B87D0A" w:rsidR="00371247" w:rsidRDefault="00371247">
      <w:pPr>
        <w:ind w:firstLine="567"/>
        <w:jc w:val="both"/>
      </w:pPr>
      <w:r/>
    </w:p>
    <w:p w14:paraId="51A1C8B1" w14:textId="55BD90CB" w:rsidR="00371247" w:rsidRDefault="00371247">
      <w:pPr>
        <w:ind w:firstLine="567"/>
        <w:jc w:val="both"/>
      </w:pPr>
      <w:r/>
    </w:p>
    <w:p w14:paraId="6468961C" w14:textId="77777777" w:rsidR="00371247" w:rsidRDefault="00371247">
      <w:pPr>
        <w:ind w:firstLine="567"/>
        <w:jc w:val="both"/>
      </w:pPr>
      <w:r/>
    </w:p>
    <w:p w14:paraId="6081E883" w14:textId="77777777" w:rsidR="000B782D" w:rsidRDefault="0018275F">
      <w:pPr>
        <w:spacing w:before="240" w:after="60" w:line="276" w:lineRule="auto"/>
      </w:pPr>
      <w:r>
        <w:t>Хүснэгт 2  Үндсэн хувьсагчдын тодорхойлолт</w:t>
      </w:r>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2C20492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Хувьсагч</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Тэмдэглэгээ</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Тооцоолол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Үүрэг</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Түүвэр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Төрөл</w:t>
            </w:r>
          </w:p>
        </w:tc>
      </w:tr>
      <w:tr w:rsidR="000B782D" w14:paraId="788A74A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Логаритмчилсан цалин</w:t>
            </w:r>
          </w:p>
        </w:tc>
        <w:tc>
          <w:tcPr>
            <w:tcW w:w="1020" w:type="dxa"/>
            <w:tcBorders>
              <w:top w:val="single" w:sz="4" w:space="0" w:color="000000"/>
              <w:left w:val="single" w:sz="4" w:space="0" w:color="000000"/>
              <w:bottom w:val="single" w:sz="4" w:space="0" w:color="000000"/>
              <w:right w:val="single" w:sz="4" w:space="0" w:color="000000"/>
            </w:tcBorders>
            <w:vAlign w:val="center"/>
          </w:tcPr>
          <w:p>
            <w:r>
              <w:t>ln(wage)</w:t>
            </w:r>
          </w:p>
        </w:tc>
        <w:tc>
          <w:tcPr>
            <w:tcW w:w="1417" w:type="dxa"/>
            <w:tcBorders>
              <w:top w:val="single" w:sz="4" w:space="0" w:color="000000"/>
              <w:left w:val="single" w:sz="4" w:space="0" w:color="000000"/>
              <w:bottom w:val="single" w:sz="4" w:space="0" w:color="000000"/>
              <w:right w:val="single" w:sz="4" w:space="0" w:color="000000"/>
            </w:tcBorders>
            <w:vAlign w:val="center"/>
          </w:tcPr>
          <w:p>
            <w:r>
              <w:t>Сарын хөдөлмөрийн орлогын натурал логарифм</w:t>
            </w:r>
          </w:p>
        </w:tc>
        <w:tc>
          <w:tcPr>
            <w:tcW w:w="1417" w:type="dxa"/>
            <w:tcBorders>
              <w:top w:val="single" w:sz="4" w:space="0" w:color="000000"/>
              <w:left w:val="single" w:sz="4" w:space="0" w:color="000000"/>
              <w:bottom w:val="single" w:sz="4" w:space="0" w:color="000000"/>
              <w:right w:val="single" w:sz="4" w:space="0" w:color="000000"/>
            </w:tcBorders>
            <w:vAlign w:val="center"/>
          </w:tcPr>
          <w:p>
            <w:r>
              <w:t>Хамаарах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Цалингийн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Зөвхөн эерэг цалинтай ажиллагчдад тооцогдоно</w:t>
            </w:r>
          </w:p>
        </w:tc>
        <w:tc>
          <w:tcPr>
            <w:tcW w:w="964" w:type="dxa"/>
            <w:tcBorders>
              <w:top w:val="single" w:sz="4" w:space="0" w:color="000000"/>
              <w:left w:val="single" w:sz="4" w:space="0" w:color="000000"/>
              <w:bottom w:val="single" w:sz="4" w:space="0" w:color="000000"/>
              <w:right w:val="single" w:sz="4" w:space="0" w:color="000000"/>
            </w:tcBorders>
            <w:vAlign w:val="center"/>
          </w:tcPr>
          <w:p>
            <w:r>
              <w:t>Үр дүн</w:t>
            </w:r>
          </w:p>
        </w:tc>
      </w:tr>
      <w:tr w:rsidR="000B782D" w14:paraId="20F5782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Боловсролын жил</w:t>
            </w:r>
          </w:p>
        </w:tc>
        <w:tc>
          <w:tcPr>
            <w:tcW w:w="1020" w:type="dxa"/>
            <w:tcBorders>
              <w:top w:val="single" w:sz="4" w:space="0" w:color="000000"/>
              <w:left w:val="single" w:sz="4" w:space="0" w:color="000000"/>
              <w:bottom w:val="single" w:sz="4" w:space="0" w:color="000000"/>
              <w:right w:val="single" w:sz="4" w:space="0" w:color="000000"/>
            </w:tcBorders>
            <w:vAlign w:val="center"/>
          </w:tcPr>
          <w:p>
            <w:r>
              <w:t>educ</w:t>
            </w:r>
          </w:p>
        </w:tc>
        <w:tc>
          <w:tcPr>
            <w:tcW w:w="1417" w:type="dxa"/>
            <w:tcBorders>
              <w:top w:val="single" w:sz="4" w:space="0" w:color="000000"/>
              <w:left w:val="single" w:sz="4" w:space="0" w:color="000000"/>
              <w:bottom w:val="single" w:sz="4" w:space="0" w:color="000000"/>
              <w:right w:val="single" w:sz="4" w:space="0" w:color="000000"/>
            </w:tcBorders>
            <w:vAlign w:val="center"/>
          </w:tcPr>
          <w:p>
            <w:r>
              <w:t>Албан боловсролын түвшнийг жилд шилжүүлсэн утга</w:t>
            </w:r>
          </w:p>
        </w:tc>
        <w:tc>
          <w:tcPr>
            <w:tcW w:w="1417" w:type="dxa"/>
            <w:tcBorders>
              <w:top w:val="single" w:sz="4" w:space="0" w:color="000000"/>
              <w:left w:val="single" w:sz="4" w:space="0" w:color="000000"/>
              <w:bottom w:val="single" w:sz="4" w:space="0" w:color="000000"/>
              <w:right w:val="single" w:sz="4" w:space="0" w:color="000000"/>
            </w:tcBorders>
            <w:vAlign w:val="center"/>
          </w:tcPr>
          <w:p>
            <w:r>
              <w:t>Эндоген үндсэн тайлбарлагч</w:t>
            </w:r>
          </w:p>
        </w:tc>
        <w:tc>
          <w:tcPr>
            <w:tcW w:w="1417" w:type="dxa"/>
            <w:tcBorders>
              <w:top w:val="single" w:sz="4" w:space="0" w:color="000000"/>
              <w:left w:val="single" w:sz="4" w:space="0" w:color="000000"/>
              <w:bottom w:val="single" w:sz="4" w:space="0" w:color="000000"/>
              <w:right w:val="single" w:sz="4" w:space="0" w:color="000000"/>
            </w:tcBorders>
            <w:vAlign w:val="center"/>
          </w:tcPr>
          <w:p>
            <w:r>
              <w:t>Бүх шинжилгээ</w:t>
            </w:r>
          </w:p>
        </w:tc>
        <w:tc>
          <w:tcPr>
            <w:tcW w:w="964" w:type="dxa"/>
            <w:tcBorders>
              <w:top w:val="single" w:sz="4" w:space="0" w:color="000000"/>
              <w:left w:val="single" w:sz="4" w:space="0" w:color="000000"/>
              <w:bottom w:val="single" w:sz="4" w:space="0" w:color="000000"/>
              <w:right w:val="single" w:sz="4" w:space="0" w:color="000000"/>
            </w:tcBorders>
            <w:vAlign w:val="center"/>
          </w:tcPr>
          <w:p>
            <w:r>
              <w:t>ЭХБК-д шууд, ХШХБК-д тохирсон утгаар орно</w:t>
            </w:r>
          </w:p>
        </w:tc>
        <w:tc>
          <w:tcPr>
            <w:tcW w:w="964" w:type="dxa"/>
            <w:tcBorders>
              <w:top w:val="single" w:sz="4" w:space="0" w:color="000000"/>
              <w:left w:val="single" w:sz="4" w:space="0" w:color="000000"/>
              <w:bottom w:val="single" w:sz="4" w:space="0" w:color="000000"/>
              <w:right w:val="single" w:sz="4" w:space="0" w:color="000000"/>
            </w:tcBorders>
            <w:vAlign w:val="center"/>
          </w:tcPr>
          <w:p>
            <w:r>
              <w:t>Тайлбарлагч</w:t>
            </w:r>
          </w:p>
        </w:tc>
      </w:tr>
      <w:tr w:rsidR="000B782D" w14:paraId="303CCE7A"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Эцэг, эхийн боловсролын дундаж</w:t>
            </w:r>
          </w:p>
        </w:tc>
        <w:tc>
          <w:tcPr>
            <w:tcW w:w="1020" w:type="dxa"/>
            <w:tcBorders>
              <w:top w:val="single" w:sz="4" w:space="0" w:color="000000"/>
              <w:left w:val="single" w:sz="4" w:space="0" w:color="000000"/>
              <w:bottom w:val="single" w:sz="4" w:space="0" w:color="000000"/>
              <w:right w:val="single" w:sz="4" w:space="0" w:color="000000"/>
            </w:tcBorders>
            <w:vAlign w:val="center"/>
          </w:tcPr>
          <w:p>
            <w:r>
              <w:t>PE</w:t>
            </w:r>
          </w:p>
        </w:tc>
        <w:tc>
          <w:tcPr>
            <w:tcW w:w="1417" w:type="dxa"/>
            <w:tcBorders>
              <w:top w:val="single" w:sz="4" w:space="0" w:color="000000"/>
              <w:left w:val="single" w:sz="4" w:space="0" w:color="000000"/>
              <w:bottom w:val="single" w:sz="4" w:space="0" w:color="000000"/>
              <w:right w:val="single" w:sz="4" w:space="0" w:color="000000"/>
            </w:tcBorders>
            <w:vAlign w:val="center"/>
          </w:tcPr>
          <w:p>
            <w:r>
              <w:t>Ажиглагдсан эцэг/эхийн боловсролын жилийн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Хэрэгсэл хувьсагч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Боловсролын жилтэй хүчтэй холбоотой; хязгаарлалтын таамаглал болгоомжтой</w:t>
            </w:r>
          </w:p>
        </w:tc>
        <w:tc>
          <w:tcPr>
            <w:tcW w:w="964"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r>
      <w:tr w:rsidR="000B782D" w14:paraId="7D5C7AD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 17–18 нас</w:t>
            </w:r>
          </w:p>
        </w:tc>
        <w:tc>
          <w:tcPr>
            <w:tcW w:w="1020" w:type="dxa"/>
            <w:tcBorders>
              <w:top w:val="single" w:sz="4" w:space="0" w:color="000000"/>
              <w:left w:val="single" w:sz="4" w:space="0" w:color="000000"/>
              <w:bottom w:val="single" w:sz="4" w:space="0" w:color="000000"/>
              <w:right w:val="single" w:sz="4" w:space="0" w:color="000000"/>
            </w:tcBorders>
            <w:vAlign w:val="center"/>
          </w:tcPr>
          <w:p>
            <w:r>
              <w:t>q</w:t>
            </w:r>
          </w:p>
        </w:tc>
        <w:tc>
          <w:tcPr>
            <w:tcW w:w="1417" w:type="dxa"/>
            <w:tcBorders>
              <w:top w:val="single" w:sz="4" w:space="0" w:color="000000"/>
              <w:left w:val="single" w:sz="4" w:space="0" w:color="000000"/>
              <w:bottom w:val="single" w:sz="4" w:space="0" w:color="000000"/>
              <w:right w:val="single" w:sz="4" w:space="0" w:color="000000"/>
            </w:tcBorders>
            <w:vAlign w:val="center"/>
          </w:tcPr>
          <w:p>
            <w:r>
              <w:t>Төрсөн аймагт 17 ба 18 насанд харгалзах сурагч-багшийн харьцааны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Өндөр утга нь сургуулийн орчны ачаалал өндөр гэсэн утгатай</w:t>
            </w:r>
          </w:p>
        </w:tc>
        <w:tc>
          <w:tcPr>
            <w:tcW w:w="964" w:type="dxa"/>
            <w:tcBorders>
              <w:top w:val="single" w:sz="4" w:space="0" w:color="000000"/>
              <w:left w:val="single" w:sz="4" w:space="0" w:color="000000"/>
              <w:bottom w:val="single" w:sz="4" w:space="0" w:color="000000"/>
              <w:right w:val="single" w:sz="4" w:space="0" w:color="000000"/>
            </w:tcBorders>
            <w:vAlign w:val="center"/>
          </w:tcPr>
          <w:p>
            <w:r>
              <w:t>Босго</w:t>
            </w:r>
          </w:p>
        </w:tc>
      </w:tr>
      <w:tr w:rsidR="000B782D" w14:paraId="5D43A9B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Хяналтын хувьсагчид</w:t>
            </w:r>
          </w:p>
        </w:tc>
        <w:tc>
          <w:tcPr>
            <w:tcW w:w="1020" w:type="dxa"/>
            <w:tcBorders>
              <w:top w:val="single" w:sz="4" w:space="0" w:color="000000"/>
              <w:left w:val="single" w:sz="4" w:space="0" w:color="000000"/>
              <w:bottom w:val="single" w:sz="4" w:space="0" w:color="000000"/>
              <w:right w:val="single" w:sz="4" w:space="0" w:color="000000"/>
            </w:tcBorders>
            <w:vAlign w:val="center"/>
          </w:tcPr>
          <w:p>
            <w:r>
              <w:t>X</w:t>
            </w:r>
          </w:p>
        </w:tc>
        <w:tc>
          <w:tcPr>
            <w:tcW w:w="1417" w:type="dxa"/>
            <w:tcBorders>
              <w:top w:val="single" w:sz="4" w:space="0" w:color="000000"/>
              <w:left w:val="single" w:sz="4" w:space="0" w:color="000000"/>
              <w:bottom w:val="single" w:sz="4" w:space="0" w:color="000000"/>
              <w:right w:val="single" w:sz="4" w:space="0" w:color="000000"/>
            </w:tcBorders>
            <w:vAlign w:val="center"/>
          </w:tcPr>
          <w:p>
            <w:r>
              <w:t>Нас, насны квадрат, хүйс, гэрлэлт, хотын суурьшил</w:t>
            </w:r>
          </w:p>
        </w:tc>
        <w:tc>
          <w:tcPr>
            <w:tcW w:w="1417" w:type="dxa"/>
            <w:tcBorders>
              <w:top w:val="single" w:sz="4" w:space="0" w:color="000000"/>
              <w:left w:val="single" w:sz="4" w:space="0" w:color="000000"/>
              <w:bottom w:val="single" w:sz="4" w:space="0" w:color="000000"/>
              <w:right w:val="single" w:sz="4" w:space="0" w:color="000000"/>
            </w:tcBorders>
            <w:vAlign w:val="center"/>
          </w:tcPr>
          <w:p>
            <w:r>
              <w:t>Хяналт</w:t>
            </w:r>
          </w:p>
        </w:tc>
        <w:tc>
          <w:tcPr>
            <w:tcW w:w="1417" w:type="dxa"/>
            <w:tcBorders>
              <w:top w:val="single" w:sz="4" w:space="0" w:color="000000"/>
              <w:left w:val="single" w:sz="4" w:space="0" w:color="000000"/>
              <w:bottom w:val="single" w:sz="4" w:space="0" w:color="000000"/>
              <w:right w:val="single" w:sz="4" w:space="0" w:color="000000"/>
            </w:tcBorders>
            <w:vAlign w:val="center"/>
          </w:tcPr>
          <w:p>
            <w:r>
              <w:t>Бүх загвар</w:t>
            </w:r>
          </w:p>
        </w:tc>
        <w:tc>
          <w:tcPr>
            <w:tcW w:w="964" w:type="dxa"/>
            <w:tcBorders>
              <w:top w:val="single" w:sz="4" w:space="0" w:color="000000"/>
              <w:left w:val="single" w:sz="4" w:space="0" w:color="000000"/>
              <w:bottom w:val="single" w:sz="4" w:space="0" w:color="000000"/>
              <w:right w:val="single" w:sz="4" w:space="0" w:color="000000"/>
            </w:tcBorders>
            <w:vAlign w:val="center"/>
          </w:tcPr>
          <w:p>
            <w:r>
              <w:t>Цалинтай холбоотой ажиглагдах суурь ялгааг хянана</w:t>
            </w:r>
          </w:p>
        </w:tc>
        <w:tc>
          <w:tcPr>
            <w:tcW w:w="964" w:type="dxa"/>
            <w:tcBorders>
              <w:top w:val="single" w:sz="4" w:space="0" w:color="000000"/>
              <w:left w:val="single" w:sz="4" w:space="0" w:color="000000"/>
              <w:bottom w:val="single" w:sz="4" w:space="0" w:color="000000"/>
              <w:right w:val="single" w:sz="4" w:space="0" w:color="000000"/>
            </w:tcBorders>
            <w:vAlign w:val="center"/>
          </w:tcPr>
          <w:p>
            <w:r>
              <w:t>Хяналт</w:t>
            </w:r>
          </w:p>
        </w:tc>
      </w:tr>
      <w:tr>
        <w:tc>
          <w:tcPr>
            <w:tcW w:type="dxa" w:w="1020"/>
          </w:tcPr>
          <w:p>
            <w:r>
              <w:t>Тогтмол нөлөө</w:t>
            </w:r>
          </w:p>
        </w:tc>
        <w:tc>
          <w:tcPr>
            <w:tcW w:type="dxa" w:w="1020"/>
          </w:tcPr>
          <w:p>
            <w:r>
              <w:t>FE</w:t>
            </w:r>
          </w:p>
        </w:tc>
        <w:tc>
          <w:tcPr>
            <w:tcW w:type="dxa" w:w="1417"/>
          </w:tcPr>
          <w:p>
            <w:r>
              <w:t>Төрсөн аймаг, төрсөн үеийн бүлэг, судалгааны давалгаа</w:t>
            </w:r>
          </w:p>
        </w:tc>
        <w:tc>
          <w:tcPr>
            <w:tcW w:type="dxa" w:w="1417"/>
          </w:tcPr>
          <w:p>
            <w:r>
              <w:t>Үлдэгдэлжүүлэлт ба хяналт</w:t>
            </w:r>
          </w:p>
        </w:tc>
        <w:tc>
          <w:tcPr>
            <w:tcW w:type="dxa" w:w="1417"/>
          </w:tcPr>
          <w:p>
            <w:r>
              <w:t>ХШХБК, ХХБР</w:t>
            </w:r>
          </w:p>
        </w:tc>
        <w:tc>
          <w:tcPr>
            <w:tcW w:type="dxa" w:w="964"/>
          </w:tcPr>
          <w:p>
            <w:r>
              <w:t>Орон нутаг, үе, давалгааны тогтмол ялгааг хянана</w:t>
            </w:r>
          </w:p>
        </w:tc>
        <w:tc>
          <w:tcPr>
            <w:tcW w:type="dxa" w:w="964"/>
          </w:tcPr>
          <w:p>
            <w:r>
              <w:t>Тогтмол нөлөө</w:t>
            </w:r>
          </w:p>
        </w:tc>
      </w:tr>
      <w:tr>
        <w:tc>
          <w:tcPr>
            <w:tcW w:type="dxa" w:w="1020"/>
          </w:tcPr>
          <w:p>
            <w:r>
              <w:t>Түүврийн жин</w:t>
            </w:r>
          </w:p>
        </w:tc>
        <w:tc>
          <w:tcPr>
            <w:tcW w:type="dxa" w:w="1020"/>
          </w:tcPr>
          <w:p>
            <w:r>
              <w:t>h</w:t>
            </w:r>
          </w:p>
        </w:tc>
        <w:tc>
          <w:tcPr>
            <w:tcW w:type="dxa" w:w="1417"/>
          </w:tcPr>
          <w:p>
            <w:r>
              <w:t>ӨНЭЗС-ийн өрхийн түүврийн жин</w:t>
            </w:r>
          </w:p>
        </w:tc>
        <w:tc>
          <w:tcPr>
            <w:tcW w:type="dxa" w:w="1417"/>
          </w:tcPr>
          <w:p>
            <w:r>
              <w:t>Жинлэлт</w:t>
            </w:r>
          </w:p>
        </w:tc>
        <w:tc>
          <w:tcPr>
            <w:tcW w:type="dxa" w:w="1417"/>
          </w:tcPr>
          <w:p>
            <w:r>
              <w:t>Бүх үндсэн загвар</w:t>
            </w:r>
          </w:p>
        </w:tc>
        <w:tc>
          <w:tcPr>
            <w:tcW w:type="dxa" w:w="964"/>
          </w:tcPr>
          <w:p>
            <w:r>
              <w:t>Түүврийн төлөөлөх чадварыг хадгална</w:t>
            </w:r>
          </w:p>
        </w:tc>
        <w:tc>
          <w:tcPr>
            <w:tcW w:type="dxa" w:w="964"/>
          </w:tcPr>
          <w:p>
            <w:r>
              <w:t>Жин</w:t>
            </w:r>
          </w:p>
        </w:tc>
      </w:tr>
    </w:tbl>
    <w:p w14:paraId="07D22EA5" w14:textId="77777777" w:rsidR="000B782D" w:rsidRDefault="0018275F">
      <w:pPr>
        <w:spacing w:before="60" w:after="240" w:line="276" w:lineRule="auto"/>
        <w:jc w:val="right"/>
      </w:pPr>
      <w:r>
        <w:t>Эх сурвалж: Оюутны тооцоолол</w:t>
      </w:r>
    </w:p>
    <w:p w14:paraId="255411A9" w14:textId="77777777" w:rsidR="00313831" w:rsidRDefault="00F44A9E">
      <w:r>
        <w:t>Энэхүү бүлгийн гол санаа нь эцсийн 3,188 ажиглалт санамсаргүйгээр багасаагүй, харин хэрэгсэл хувьсагч болон босго хувьсагчийн шаардлагаас үүдэн шат дараатайгаар бүрдсэн явдал юм. Иймээс үр дүнгийн бүлэгт танилцуулах ХХБР үнэлгээ нь бүх цалинтай ажиллагчдын ерөнхий дундаж бус, эцэг эсвэл эхийн боловсрол болон хүүхэд ахуйн сургуулийн орчны мэдээлэл бүрэн таарсан ажиллагчдын хүрээнд тодорхойлогдоно.</w:t>
      </w:r>
    </w:p>
    <w:p w14:paraId="25365032" w14:textId="77777777" w:rsidR="00313831" w:rsidRDefault="00F44A9E">
      <w:r/>
    </w:p>
    <w:p w14:paraId="2FAF52CD" w14:textId="77777777" w:rsidR="000B782D" w:rsidRDefault="0018275F">
      <w:pPr>
        <w:ind w:firstLine="567"/>
        <w:jc w:val="both"/>
      </w:pPr>
      <w:r>
        <w:t>Энэ хязгаарлалт нь судалгааны сул тал бус, харин хэрэглэж буй ХХБР аргачлалын өгөгдлийн шаардлага юм. Эцэг, эхийн боловсролын дундажийг хэрэгсэл хувьсагчаар ашигласнаар боловсролын эндоген сонголтыг багасгах боломж бүрдсэн бол сурагч-багшийн харьцааг босго хувьсагчаар ашигласнаар боловсролын өгөөж сургуулийн орчны ачааллаар ялгаатай эсэхийг шалгах боломжтой болсон.</w:t>
      </w:r>
    </w:p>
    <w:p w14:paraId="740844A2" w14:textId="77777777" w:rsidR="000B782D" w:rsidRDefault="0018275F">
      <w:pPr>
        <w:ind w:firstLine="567"/>
        <w:jc w:val="both"/>
      </w:pPr>
      <w:r>
        <w:t>Иймээс цаашдын шинжилгээнд ЭХБК болон ХШХБК-ийн үр дүнг өргөн цалингийн түүврийн ерөнхий холбоотой шууд адилтгахгүй, харин эцсийн ХХБР түүврийн хүрээнд харьцуулан тайлбарлана. Энэ нь үр дүнгийн дотоод хүчин төгөлдөр байдлыг хамгаалах бөгөөд бодлогын тайлбарт түүврийн хамрах хүрээг ил тод болгох ач холбогдолтой.</w:t>
      </w:r>
    </w:p>
    <w:p w14:paraId="7C3DE399" w14:textId="77777777" w:rsidR="00972FBE" w:rsidRDefault="00972FBE">
      <w:r/>
    </w:p>
    <w:p w14:paraId="6D516262" w14:textId="77777777" w:rsidR="000B782D" w:rsidRDefault="0018275F">
      <w:pPr>
        <w:spacing w:before="60" w:after="240" w:line="276" w:lineRule="auto"/>
        <w:jc w:val="right"/>
      </w:pPr>
      <w:r/>
    </w:p>
    <w:p w14:paraId="663848E7" w14:textId="77777777" w:rsidR="000B782D" w:rsidRDefault="0018275F">
      <w:pPr>
        <w:spacing w:before="60" w:after="60" w:line="276" w:lineRule="auto"/>
      </w:pPr>
      <w:r/>
    </w:p>
    <w:p w14:paraId="1851B723" w14:textId="77777777" w:rsidR="00313831" w:rsidRDefault="00F44A9E">
      <w:r/>
    </w:p>
    <w:p w14:paraId="11EB7ECD" w14:textId="77777777" w:rsidR="000B782D" w:rsidRDefault="0018275F">
      <w:pPr>
        <w:ind w:firstLine="567"/>
        <w:jc w:val="both"/>
      </w:pPr>
      <w:r/>
    </w:p>
    <w:p w14:paraId="126C4416" w14:textId="77777777" w:rsidR="000B782D" w:rsidRDefault="0018275F">
      <w:pPr>
        <w:spacing w:before="60" w:after="240" w:line="276" w:lineRule="auto"/>
        <w:jc w:val="right"/>
      </w:pPr>
      <w:r/>
    </w:p>
    <w:p w14:paraId="5E7CA9A7" w14:textId="77777777" w:rsidR="000B782D" w:rsidRDefault="0018275F">
      <w:r>
        <w:br w:type="page"/>
      </w:r>
    </w:p>
    <w:p w14:paraId="6F854534" w14:textId="77777777" w:rsidR="000B782D" w:rsidRDefault="0018275F">
      <w:pPr>
        <w:pStyle w:val="Heading1"/>
        <w:spacing w:after="240"/>
      </w:pPr>
      <w:r>
        <w:t>IV БҮЛЭГ. ШИНЖИЛГЭЭНИЙ ҮР ДҮН</w:t>
      </w:r>
    </w:p>
    <w:p w14:paraId="66BCDE6A" w14:textId="77777777" w:rsidR="00972FBE" w:rsidRDefault="00D33DC4">
      <w:pPr/>
      <w:r>
        <w:t>Энэ бүлэгт боловсролын цалингийн өгөөжийг гурван түвшинд үнэлсэн үр дүнг танилцуулна. Нэгдүгээрт, эцсийн ХХБР түүвэр дээрх ЭХБК ба ХШХБК үнэлгээг харьцуулж, боловсролын эндоген сонголтыг засахад өгөөжийн хэмжээ хэрхэн өөрчлөгдөж байгааг харуулна. Хоёрдугаарт, эцэг, эхийн боловсролын дундаж хэрэгсэл хувьсагчийн эхний шатны хүчийг шалгана. Гуравдугаарт, 17–18 насны сурагч-багшийн дундаж харьцаагаар тодорхойлогдох босгоны сүлжээн хайлт, регим тус бүрийн боловсролын өгөөж, бүүтстрап дахин түүвэрлэлтийн үр дүнг нэгтгэн тайлбарлана.</w:t>
      </w:r>
    </w:p>
    <w:p w14:paraId="76AD7287" w14:textId="77777777" w:rsidR="000B782D" w:rsidRDefault="0018275F">
      <w:pPr>
        <w:pStyle w:val="Heading2"/>
        <w:spacing w:after="120"/>
      </w:pPr>
      <w:r>
        <w:t>4.1. ЭХБК ба ХШХБК үнэлгээний суурь үр дүн</w:t>
      </w:r>
    </w:p>
    <w:p w14:paraId="770FA611" w14:textId="77777777" w:rsidR="000B782D" w:rsidRDefault="0018275F">
      <w:pPr>
        <w:ind w:firstLine="567"/>
      </w:pPr>
      <w:r>
        <w:t>Эцсийн ХХБР түүвэр 3,188 ажиглалтаас бүрдэнэ. Энэ түүвэр дээр боловсролын нэг жилийн өгөөжийг ЭХБК аргаар эхлэн үнэлэхэд коэффициент 0.0472 гарч, экспоненциал хувиргалтаар ойролцоогоор 4.8 хувийн цалингийн өгөөжтэй байна. Харин эцэг, эхийн боловсролын дундажийг хэрэгсэл хувьсагчаар ашигласан ХШХБК үнэлгээнд боловсролын коэффициент 0.1033 болж өссөн бөгөөд энэ нь ойролцоогоор 10.9 хувийн өгөөжтэй тэнцэнэ.</w:t>
      </w:r>
    </w:p>
    <w:p w14:paraId="2E62D24A" w14:textId="77777777" w:rsidR="000B782D" w:rsidRDefault="0018275F">
      <w:pPr>
        <w:spacing w:before="240" w:after="60" w:line="276" w:lineRule="auto"/>
      </w:pPr>
      <w:r>
        <w:t>Хүснэгт 3  ЭХБК ба ХШХБК үнэлгээний харьцуулалт</w:t>
      </w:r>
    </w:p>
    <w:tbl>
      <w:tblPr>
        <w:tblW w:w="0" w:type="auto"/>
        <w:jc w:val="center"/>
        <w:tblLayout w:type="fixed"/>
        <w:tblLook w:val="04A0" w:firstRow="1" w:lastRow="0" w:firstColumn="1" w:lastColumn="0" w:noHBand="0" w:noVBand="1"/>
      </w:tblPr>
      <w:tblGrid>
        <w:gridCol w:w="2835"/>
        <w:gridCol w:w="1871"/>
        <w:gridCol w:w="1871"/>
        <w:gridCol w:w="1871"/>
      </w:tblGrid>
      <w:tr w:rsidR="000B782D" w14:paraId="71A9FA4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r>
              <w:t>ЭХБК</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r>
              <w:t>ХШХБК</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r>
      <w:tr w:rsidR="000B782D" w14:paraId="59DBCFD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Ажиглалтын тоо</w:t>
            </w:r>
          </w:p>
        </w:tc>
        <w:tc>
          <w:tcPr>
            <w:tcW w:w="1871" w:type="dxa"/>
            <w:tcBorders>
              <w:top w:val="single" w:sz="4" w:space="0" w:color="000000"/>
              <w:left w:val="single" w:sz="4" w:space="0" w:color="000000"/>
              <w:bottom w:val="single" w:sz="4" w:space="0" w:color="000000"/>
              <w:right w:val="single" w:sz="4" w:space="0" w:color="000000"/>
            </w:tcBorders>
            <w:vAlign w:val="center"/>
          </w:tcPr>
          <w:p>
            <w:r>
              <w:t>3,188</w:t>
            </w:r>
          </w:p>
        </w:tc>
        <w:tc>
          <w:tcPr>
            <w:tcW w:w="1871" w:type="dxa"/>
            <w:tcBorders>
              <w:top w:val="single" w:sz="4" w:space="0" w:color="000000"/>
              <w:left w:val="single" w:sz="4" w:space="0" w:color="000000"/>
              <w:bottom w:val="single" w:sz="4" w:space="0" w:color="000000"/>
              <w:right w:val="single" w:sz="4" w:space="0" w:color="000000"/>
            </w:tcBorders>
            <w:vAlign w:val="center"/>
          </w:tcPr>
          <w:p>
            <w:r>
              <w:t>3,188</w:t>
            </w:r>
          </w:p>
        </w:tc>
        <w:tc>
          <w:tcPr>
            <w:tcW w:w="1871"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r>
      <w:tr w:rsidR="000B782D" w14:paraId="6564A1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Боловсролын коэффициент</w:t>
            </w:r>
          </w:p>
        </w:tc>
        <w:tc>
          <w:tcPr>
            <w:tcW w:w="1871" w:type="dxa"/>
            <w:tcBorders>
              <w:top w:val="single" w:sz="4" w:space="0" w:color="000000"/>
              <w:left w:val="single" w:sz="4" w:space="0" w:color="000000"/>
              <w:bottom w:val="single" w:sz="4" w:space="0" w:color="000000"/>
              <w:right w:val="single" w:sz="4" w:space="0" w:color="000000"/>
            </w:tcBorders>
            <w:vAlign w:val="center"/>
          </w:tcPr>
          <w:p>
            <w:r>
              <w:t>0.0472***</w:t>
            </w:r>
          </w:p>
        </w:tc>
        <w:tc>
          <w:tcPr>
            <w:tcW w:w="1871" w:type="dxa"/>
            <w:tcBorders>
              <w:top w:val="single" w:sz="4" w:space="0" w:color="000000"/>
              <w:left w:val="single" w:sz="4" w:space="0" w:color="000000"/>
              <w:bottom w:val="single" w:sz="4" w:space="0" w:color="000000"/>
              <w:right w:val="single" w:sz="4" w:space="0" w:color="000000"/>
            </w:tcBorders>
            <w:vAlign w:val="center"/>
          </w:tcPr>
          <w:p>
            <w:r>
              <w:t>0.1033***</w:t>
            </w:r>
          </w:p>
        </w:tc>
        <w:tc>
          <w:tcPr>
            <w:tcW w:w="1871" w:type="dxa"/>
            <w:tcBorders>
              <w:top w:val="single" w:sz="4" w:space="0" w:color="000000"/>
              <w:left w:val="single" w:sz="4" w:space="0" w:color="000000"/>
              <w:bottom w:val="single" w:sz="4" w:space="0" w:color="000000"/>
              <w:right w:val="single" w:sz="4" w:space="0" w:color="000000"/>
            </w:tcBorders>
            <w:vAlign w:val="center"/>
          </w:tcPr>
          <w:p>
            <w:r>
              <w:t>Боловсролын нэмэлт нэг жил</w:t>
            </w:r>
          </w:p>
        </w:tc>
      </w:tr>
      <w:tr w:rsidR="000B782D" w14:paraId="24894CE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Стандарт алдаа</w:t>
            </w:r>
          </w:p>
        </w:tc>
        <w:tc>
          <w:tcPr>
            <w:tcW w:w="1871" w:type="dxa"/>
            <w:tcBorders>
              <w:top w:val="single" w:sz="4" w:space="0" w:color="000000"/>
              <w:left w:val="single" w:sz="4" w:space="0" w:color="000000"/>
              <w:bottom w:val="single" w:sz="4" w:space="0" w:color="000000"/>
              <w:right w:val="single" w:sz="4" w:space="0" w:color="000000"/>
            </w:tcBorders>
            <w:vAlign w:val="center"/>
          </w:tcPr>
          <w:p>
            <w:r>
              <w:t>(0.0034)</w:t>
            </w:r>
          </w:p>
        </w:tc>
        <w:tc>
          <w:tcPr>
            <w:tcW w:w="1871" w:type="dxa"/>
            <w:tcBorders>
              <w:top w:val="single" w:sz="4" w:space="0" w:color="000000"/>
              <w:left w:val="single" w:sz="4" w:space="0" w:color="000000"/>
              <w:bottom w:val="single" w:sz="4" w:space="0" w:color="000000"/>
              <w:right w:val="single" w:sz="4" w:space="0" w:color="000000"/>
            </w:tcBorders>
            <w:vAlign w:val="center"/>
          </w:tcPr>
          <w:p>
            <w:r>
              <w:t>(0.0118)</w:t>
            </w:r>
          </w:p>
        </w:tc>
        <w:tc>
          <w:tcPr>
            <w:tcW w:w="1871" w:type="dxa"/>
            <w:tcBorders>
              <w:top w:val="single" w:sz="4" w:space="0" w:color="000000"/>
              <w:left w:val="single" w:sz="4" w:space="0" w:color="000000"/>
              <w:bottom w:val="single" w:sz="4" w:space="0" w:color="000000"/>
              <w:right w:val="single" w:sz="4" w:space="0" w:color="000000"/>
            </w:tcBorders>
            <w:vAlign w:val="center"/>
          </w:tcPr>
          <w:p>
            <w:r>
              <w:t>Төрсөн аймгаар кластерласан</w:t>
            </w:r>
          </w:p>
        </w:tc>
      </w:tr>
      <w:tr w:rsidR="000B782D" w14:paraId="12EFBDD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p-утга</w:t>
            </w:r>
          </w:p>
        </w:tc>
        <w:tc>
          <w:tcPr>
            <w:tcW w:w="1871" w:type="dxa"/>
            <w:tcBorders>
              <w:top w:val="single" w:sz="4" w:space="0" w:color="000000"/>
              <w:left w:val="single" w:sz="4" w:space="0" w:color="000000"/>
              <w:bottom w:val="single" w:sz="4" w:space="0" w:color="000000"/>
              <w:right w:val="single" w:sz="4" w:space="0" w:color="000000"/>
            </w:tcBorders>
            <w:vAlign w:val="center"/>
          </w:tcPr>
          <w:p>
            <w:r>
              <w:t>&lt;0.001</w:t>
            </w:r>
          </w:p>
        </w:tc>
        <w:tc>
          <w:tcPr>
            <w:tcW w:w="1871" w:type="dxa"/>
            <w:tcBorders>
              <w:top w:val="single" w:sz="4" w:space="0" w:color="000000"/>
              <w:left w:val="single" w:sz="4" w:space="0" w:color="000000"/>
              <w:bottom w:val="single" w:sz="4" w:space="0" w:color="000000"/>
              <w:right w:val="single" w:sz="4" w:space="0" w:color="000000"/>
            </w:tcBorders>
            <w:vAlign w:val="center"/>
          </w:tcPr>
          <w:p>
            <w:r>
              <w:t>&lt;0.001</w:t>
            </w:r>
          </w:p>
        </w:tc>
        <w:tc>
          <w:tcPr>
            <w:tcW w:w="1871" w:type="dxa"/>
            <w:tcBorders>
              <w:top w:val="single" w:sz="4" w:space="0" w:color="000000"/>
              <w:left w:val="single" w:sz="4" w:space="0" w:color="000000"/>
              <w:bottom w:val="single" w:sz="4" w:space="0" w:color="000000"/>
              <w:right w:val="single" w:sz="4" w:space="0" w:color="000000"/>
            </w:tcBorders>
            <w:vAlign w:val="center"/>
          </w:tcPr>
          <w:p>
            <w:r>
              <w:t>Статистикийн ач холбогдолтой</w:t>
            </w:r>
          </w:p>
        </w:tc>
      </w:tr>
      <w:tr w:rsidR="000B782D" w14:paraId="5C3EB21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Жилийн өгөөж</w:t>
            </w:r>
          </w:p>
        </w:tc>
        <w:tc>
          <w:tcPr>
            <w:tcW w:w="1871" w:type="dxa"/>
            <w:tcBorders>
              <w:top w:val="single" w:sz="4" w:space="0" w:color="000000"/>
              <w:left w:val="single" w:sz="4" w:space="0" w:color="000000"/>
              <w:bottom w:val="single" w:sz="4" w:space="0" w:color="000000"/>
              <w:right w:val="single" w:sz="4" w:space="0" w:color="000000"/>
            </w:tcBorders>
            <w:vAlign w:val="center"/>
          </w:tcPr>
          <w:p>
            <w:r>
              <w:t>4.8%</w:t>
            </w:r>
          </w:p>
        </w:tc>
        <w:tc>
          <w:tcPr>
            <w:tcW w:w="1871" w:type="dxa"/>
            <w:tcBorders>
              <w:top w:val="single" w:sz="4" w:space="0" w:color="000000"/>
              <w:left w:val="single" w:sz="4" w:space="0" w:color="000000"/>
              <w:bottom w:val="single" w:sz="4" w:space="0" w:color="000000"/>
              <w:right w:val="single" w:sz="4" w:space="0" w:color="000000"/>
            </w:tcBorders>
            <w:vAlign w:val="center"/>
          </w:tcPr>
          <w:p>
            <w:r>
              <w:t>10.9%</w:t>
            </w:r>
          </w:p>
        </w:tc>
        <w:tc>
          <w:tcPr>
            <w:tcW w:w="1871" w:type="dxa"/>
            <w:tcBorders>
              <w:top w:val="single" w:sz="4" w:space="0" w:color="000000"/>
              <w:left w:val="single" w:sz="4" w:space="0" w:color="000000"/>
              <w:bottom w:val="single" w:sz="4" w:space="0" w:color="000000"/>
              <w:right w:val="single" w:sz="4" w:space="0" w:color="000000"/>
            </w:tcBorders>
            <w:vAlign w:val="center"/>
          </w:tcPr>
          <w:p>
            <w:r>
              <w:t>Экспоненциал хувиргалтаар</w:t>
            </w:r>
          </w:p>
        </w:tc>
      </w:tr>
      <w:tr w:rsidR="000B782D" w14:paraId="411A3D49"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c>
          <w:tcPr>
            <w:tcW w:w="1871" w:type="dxa"/>
            <w:tcBorders>
              <w:top w:val="single" w:sz="4" w:space="0" w:color="000000"/>
              <w:left w:val="single" w:sz="4" w:space="0" w:color="000000"/>
              <w:bottom w:val="single" w:sz="4" w:space="0" w:color="000000"/>
              <w:right w:val="single" w:sz="4" w:space="0" w:color="000000"/>
            </w:tcBorders>
            <w:vAlign w:val="center"/>
          </w:tcPr>
          <w:p>
            <w:r>
              <w:t>Ашиглаагүй</w:t>
            </w:r>
          </w:p>
        </w:tc>
        <w:tc>
          <w:tcPr>
            <w:tcW w:w="1871" w:type="dxa"/>
            <w:tcBorders>
              <w:top w:val="single" w:sz="4" w:space="0" w:color="000000"/>
              <w:left w:val="single" w:sz="4" w:space="0" w:color="000000"/>
              <w:bottom w:val="single" w:sz="4" w:space="0" w:color="000000"/>
              <w:right w:val="single" w:sz="4" w:space="0" w:color="000000"/>
            </w:tcBorders>
            <w:vAlign w:val="center"/>
          </w:tcPr>
          <w:p>
            <w:r>
              <w:t>Эцэг, эхийн боловсролын дундаж</w:t>
            </w:r>
          </w:p>
        </w:tc>
        <w:tc>
          <w:tcPr>
            <w:tcW w:w="1871" w:type="dxa"/>
            <w:tcBorders>
              <w:top w:val="single" w:sz="4" w:space="0" w:color="000000"/>
              <w:left w:val="single" w:sz="4" w:space="0" w:color="000000"/>
              <w:bottom w:val="single" w:sz="4" w:space="0" w:color="000000"/>
              <w:right w:val="single" w:sz="4" w:space="0" w:color="000000"/>
            </w:tcBorders>
            <w:vAlign w:val="center"/>
          </w:tcPr>
          <w:p>
            <w:r>
              <w:t>ХШХБК-д ашигласан</w:t>
            </w:r>
          </w:p>
        </w:tc>
      </w:tr>
      <w:tr w:rsidR="000B782D" w14:paraId="0815E3E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Тогтмол нөлөө</w:t>
            </w:r>
          </w:p>
        </w:tc>
        <w:tc>
          <w:tcPr>
            <w:tcW w:w="1871" w:type="dxa"/>
            <w:tcBorders>
              <w:top w:val="single" w:sz="4" w:space="0" w:color="000000"/>
              <w:left w:val="single" w:sz="4" w:space="0" w:color="000000"/>
              <w:bottom w:val="single" w:sz="4" w:space="0" w:color="000000"/>
              <w:right w:val="single" w:sz="4" w:space="0" w:color="000000"/>
            </w:tcBorders>
            <w:vAlign w:val="center"/>
          </w:tcPr>
          <w:p>
            <w: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r>
              <w:t>Төрсөн аймаг, төрсөн үе, давалгаа</w:t>
            </w:r>
          </w:p>
        </w:tc>
      </w:tr>
      <w:tr w:rsidR="000B782D" w14:paraId="27FF65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Жин</w:t>
            </w:r>
          </w:p>
        </w:tc>
        <w:tc>
          <w:tcPr>
            <w:tcW w:w="1871" w:type="dxa"/>
            <w:tcBorders>
              <w:top w:val="single" w:sz="4" w:space="0" w:color="000000"/>
              <w:left w:val="single" w:sz="4" w:space="0" w:color="000000"/>
              <w:bottom w:val="single" w:sz="4" w:space="0" w:color="000000"/>
              <w:right w:val="single" w:sz="4" w:space="0" w:color="000000"/>
            </w:tcBorders>
            <w:vAlign w:val="center"/>
          </w:tcPr>
          <w:p>
            <w:r>
              <w:t>ӨНЭЗС жин</w:t>
            </w:r>
          </w:p>
        </w:tc>
        <w:tc>
          <w:tcPr>
            <w:tcW w:w="1871" w:type="dxa"/>
            <w:tcBorders>
              <w:top w:val="single" w:sz="4" w:space="0" w:color="000000"/>
              <w:left w:val="single" w:sz="4" w:space="0" w:color="000000"/>
              <w:bottom w:val="single" w:sz="4" w:space="0" w:color="000000"/>
              <w:right w:val="single" w:sz="4" w:space="0" w:color="000000"/>
            </w:tcBorders>
            <w:vAlign w:val="center"/>
          </w:tcPr>
          <w:p>
            <w:r>
              <w:t>ӨНЭЗС жин</w:t>
            </w:r>
          </w:p>
        </w:tc>
        <w:tc>
          <w:tcPr>
            <w:tcW w:w="1871" w:type="dxa"/>
            <w:tcBorders>
              <w:top w:val="single" w:sz="4" w:space="0" w:color="000000"/>
              <w:left w:val="single" w:sz="4" w:space="0" w:color="000000"/>
              <w:bottom w:val="single" w:sz="4" w:space="0" w:color="000000"/>
              <w:right w:val="single" w:sz="4" w:space="0" w:color="000000"/>
            </w:tcBorders>
            <w:vAlign w:val="center"/>
          </w:tcPr>
          <w:p>
            <w:r>
              <w:t>Өрхийн түүврийн жин</w:t>
            </w:r>
          </w:p>
        </w:tc>
      </w:tr>
      <w:tr w:rsidR="000B782D" w14:paraId="672C0A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Дүгнэлт</w:t>
            </w:r>
          </w:p>
        </w:tc>
        <w:tc>
          <w:tcPr>
            <w:tcW w:w="1871" w:type="dxa"/>
            <w:tcBorders>
              <w:top w:val="single" w:sz="4" w:space="0" w:color="000000"/>
              <w:left w:val="single" w:sz="4" w:space="0" w:color="000000"/>
              <w:bottom w:val="single" w:sz="4" w:space="0" w:color="000000"/>
              <w:right w:val="single" w:sz="4" w:space="0" w:color="000000"/>
            </w:tcBorders>
            <w:vAlign w:val="center"/>
          </w:tcPr>
          <w:p>
            <w:r>
              <w:t>Суурь холбоо</w:t>
            </w:r>
          </w:p>
        </w:tc>
        <w:tc>
          <w:tcPr>
            <w:tcW w:w="1871" w:type="dxa"/>
            <w:tcBorders>
              <w:top w:val="single" w:sz="4" w:space="0" w:color="000000"/>
              <w:left w:val="single" w:sz="4" w:space="0" w:color="000000"/>
              <w:bottom w:val="single" w:sz="4" w:space="0" w:color="000000"/>
              <w:right w:val="single" w:sz="4" w:space="0" w:color="000000"/>
            </w:tcBorders>
            <w:vAlign w:val="center"/>
          </w:tcPr>
          <w:p>
            <w:r>
              <w:t>Эндоген хазайлтыг зассан үнэлгээ</w:t>
            </w:r>
          </w:p>
        </w:tc>
        <w:tc>
          <w:tcPr>
            <w:tcW w:w="1871" w:type="dxa"/>
            <w:tcBorders>
              <w:top w:val="single" w:sz="4" w:space="0" w:color="000000"/>
              <w:left w:val="single" w:sz="4" w:space="0" w:color="000000"/>
              <w:bottom w:val="single" w:sz="4" w:space="0" w:color="000000"/>
              <w:right w:val="single" w:sz="4" w:space="0" w:color="000000"/>
            </w:tcBorders>
            <w:vAlign w:val="center"/>
          </w:tcPr>
          <w:p>
            <w:r>
              <w:t>Үндсэн харьцуулалт</w:t>
            </w:r>
          </w:p>
        </w:tc>
      </w:tr>
    </w:tbl>
    <w:p w14:paraId="1FA3F210" w14:textId="77777777" w:rsidR="000B782D" w:rsidRDefault="0018275F">
      <w:pPr>
        <w:spacing w:before="60" w:after="0" w:line="264" w:lineRule="auto"/>
      </w:pPr>
      <w:r>
        <w:t>Тэмдэглэл: Хаалтан дотор төрсөн аймгийн түвшинд кластерласан стандарт алдааг харуулав. Өгөөжийг 100[exp(β)−1] хувиргалтаар тооцсон. ***p&lt;0.01.</w:t>
      </w:r>
    </w:p>
    <w:p w14:paraId="6F8A12A5" w14:textId="77777777" w:rsidR="000B782D" w:rsidRDefault="0018275F">
      <w:pPr>
        <w:spacing w:before="60" w:after="240" w:line="276" w:lineRule="auto"/>
      </w:pPr>
      <w:r>
        <w:t>Эх сурвалж: Оюутны тооцоолол</w:t>
      </w:r>
    </w:p>
    <w:p w14:paraId="1EFA450C" w14:textId="77777777" w:rsidR="000B782D" w:rsidRDefault="0018275F">
      <w:pPr>
        <w:ind w:firstLine="567"/>
      </w:pPr>
      <w:r>
        <w:t>Зураг 3  ЭХБК ба ХШХБК үнэлгээний харьцуулалт</w:t>
      </w:r>
    </w:p>
    <w:p w14:paraId="02378FA4" w14:textId="77777777" w:rsidR="000B782D" w:rsidRDefault="0018275F">
      <w:pPr>
        <w:pStyle w:val="Heading2"/>
        <w:spacing w:after="120"/>
        <w:jc w:val="center"/>
      </w:pPr>
      <w:r>
        <w:drawing>
          <wp:inline xmlns:a="http://schemas.openxmlformats.org/drawingml/2006/main" xmlns:pic="http://schemas.openxmlformats.org/drawingml/2006/picture">
            <wp:extent cx="5303520" cy="3756660"/>
            <wp:docPr id="13" name="Picture 13"/>
            <wp:cNvGraphicFramePr>
              <a:graphicFrameLocks noChangeAspect="1"/>
            </wp:cNvGraphicFramePr>
            <a:graphic>
              <a:graphicData uri="http://schemas.openxmlformats.org/drawingml/2006/picture">
                <pic:pic>
                  <pic:nvPicPr>
                    <pic:cNvPr id="0" name="academic_student_teacher_avg_17_18_baseline_ols_2sls.png"/>
                    <pic:cNvPicPr/>
                  </pic:nvPicPr>
                  <pic:blipFill>
                    <a:blip r:embed="rId20"/>
                    <a:stretch>
                      <a:fillRect/>
                    </a:stretch>
                  </pic:blipFill>
                  <pic:spPr>
                    <a:xfrm>
                      <a:off x="0" y="0"/>
                      <a:ext cx="5303520" cy="3756660"/>
                    </a:xfrm>
                    <a:prstGeom prst="rect"/>
                  </pic:spPr>
                </pic:pic>
              </a:graphicData>
            </a:graphic>
          </wp:inline>
        </w:drawing>
      </w:r>
    </w:p>
    <w:p w14:paraId="288E357C" w14:textId="77777777" w:rsidR="000B782D" w:rsidRDefault="0018275F">
      <w:pPr>
        <w:ind w:firstLine="567"/>
      </w:pPr>
      <w:r>
        <w:t>Зураг 3-аас харахад хэрэгсэл хувьсагчтай үнэлгээ нь ЭХБК-ийн суурь холбооноос хоёр дахин өндөр байна. Энэ ялгаа нь боловсролын жилийн хувьсагч санамсаргүй бус сонгогддог, мөн хэмжилтийн алдаа болон гэр бүлийн суурь нөхцөл боловсролын коэффициентийг хазайлгах боломжтойг харуулна. Иймээс дараагийн босго шинжилгээнд боловсролыг эндоген тайлбарлагч гэж үзэж, хэрэгсэл хувьсагчтай үнэлгээг хадгалсан.</w:t>
      </w:r>
    </w:p>
    <w:p w14:paraId="72A6A4A5" w14:textId="77777777" w:rsidR="000B782D" w:rsidRDefault="0018275F">
      <w:pPr>
        <w:spacing w:before="240" w:after="60" w:line="276" w:lineRule="auto"/>
      </w:pPr>
      <w:r>
        <w:t>4.2. Эхний шат ба хэрэгсэл хувьсагчийн хүч</w:t>
      </w:r>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F6A3AF5"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r>
              <w:t>Утга</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r>
              <w:t>Стандарт алдаа</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r>
              <w:t>t/F</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r>
              <w:t>p-утга</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r>
      <w:tr w:rsidR="000B782D" w14:paraId="688365C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Эцэг, эхийн боловсролын коэффициент</w:t>
            </w:r>
          </w:p>
        </w:tc>
        <w:tc>
          <w:tcPr>
            <w:tcW w:w="1304" w:type="dxa"/>
            <w:tcBorders>
              <w:top w:val="single" w:sz="4" w:space="0" w:color="000000"/>
              <w:left w:val="single" w:sz="4" w:space="0" w:color="000000"/>
              <w:bottom w:val="single" w:sz="4" w:space="0" w:color="000000"/>
              <w:right w:val="single" w:sz="4" w:space="0" w:color="000000"/>
            </w:tcBorders>
            <w:vAlign w:val="center"/>
          </w:tcPr>
          <w:p>
            <w:r>
              <w:t>0.3623</w:t>
            </w:r>
          </w:p>
        </w:tc>
        <w:tc>
          <w:tcPr>
            <w:tcW w:w="1474" w:type="dxa"/>
            <w:tcBorders>
              <w:top w:val="single" w:sz="4" w:space="0" w:color="000000"/>
              <w:left w:val="single" w:sz="4" w:space="0" w:color="000000"/>
              <w:bottom w:val="single" w:sz="4" w:space="0" w:color="000000"/>
              <w:right w:val="single" w:sz="4" w:space="0" w:color="000000"/>
            </w:tcBorders>
            <w:vAlign w:val="center"/>
          </w:tcPr>
          <w:p>
            <w:r>
              <w:t>0.0153</w:t>
            </w:r>
          </w:p>
        </w:tc>
        <w:tc>
          <w:tcPr>
            <w:tcW w:w="1361" w:type="dxa"/>
            <w:tcBorders>
              <w:top w:val="single" w:sz="4" w:space="0" w:color="000000"/>
              <w:left w:val="single" w:sz="4" w:space="0" w:color="000000"/>
              <w:bottom w:val="single" w:sz="4" w:space="0" w:color="000000"/>
              <w:right w:val="single" w:sz="4" w:space="0" w:color="000000"/>
            </w:tcBorders>
            <w:vAlign w:val="center"/>
          </w:tcPr>
          <w:p>
            <w:r>
              <w:t>t = 23.63</w:t>
            </w:r>
          </w:p>
        </w:tc>
        <w:tc>
          <w:tcPr>
            <w:tcW w:w="1304" w:type="dxa"/>
            <w:tcBorders>
              <w:top w:val="single" w:sz="4" w:space="0" w:color="000000"/>
              <w:left w:val="single" w:sz="4" w:space="0" w:color="000000"/>
              <w:bottom w:val="single" w:sz="4" w:space="0" w:color="000000"/>
              <w:right w:val="single" w:sz="4" w:space="0" w:color="000000"/>
            </w:tcBorders>
            <w:vAlign w:val="center"/>
          </w:tcPr>
          <w:p>
            <w:r>
              <w:t>&lt;0.001</w:t>
            </w:r>
          </w:p>
        </w:tc>
        <w:tc>
          <w:tcPr>
            <w:tcW w:w="1417" w:type="dxa"/>
            <w:tcBorders>
              <w:top w:val="single" w:sz="4" w:space="0" w:color="000000"/>
              <w:left w:val="single" w:sz="4" w:space="0" w:color="000000"/>
              <w:bottom w:val="single" w:sz="4" w:space="0" w:color="000000"/>
              <w:right w:val="single" w:sz="4" w:space="0" w:color="000000"/>
            </w:tcBorders>
            <w:vAlign w:val="center"/>
          </w:tcPr>
          <w:p>
            <w:r>
              <w:t>Боловсролын жилтэй хүчтэй холбоотой</w:t>
            </w:r>
          </w:p>
        </w:tc>
      </w:tr>
      <w:tr w:rsidR="000B782D" w14:paraId="0BB1881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r>
              <w:t>558.45</w:t>
            </w:r>
          </w:p>
        </w:tc>
        <w:tc>
          <w:tcPr>
            <w:tcW w:w="1474" w:type="dxa"/>
            <w:tcBorders>
              <w:top w:val="single" w:sz="4" w:space="0" w:color="000000"/>
              <w:left w:val="single" w:sz="4" w:space="0" w:color="000000"/>
              <w:bottom w:val="single" w:sz="4" w:space="0" w:color="000000"/>
              <w:right w:val="single" w:sz="4" w:space="0" w:color="000000"/>
            </w:tcBorders>
            <w:vAlign w:val="center"/>
          </w:tcPr>
          <w:p>
            <w:r>
              <w:t>—</w:t>
            </w:r>
          </w:p>
        </w:tc>
        <w:tc>
          <w:tcPr>
            <w:tcW w:w="1361" w:type="dxa"/>
            <w:tcBorders>
              <w:top w:val="single" w:sz="4" w:space="0" w:color="000000"/>
              <w:left w:val="single" w:sz="4" w:space="0" w:color="000000"/>
              <w:bottom w:val="single" w:sz="4" w:space="0" w:color="000000"/>
              <w:right w:val="single" w:sz="4" w:space="0" w:color="000000"/>
            </w:tcBorders>
            <w:vAlign w:val="center"/>
          </w:tcPr>
          <w:p>
            <w:r>
              <w:t>F = 558.45</w:t>
            </w:r>
          </w:p>
        </w:tc>
        <w:tc>
          <w:tcPr>
            <w:tcW w:w="1304" w:type="dxa"/>
            <w:tcBorders>
              <w:top w:val="single" w:sz="4" w:space="0" w:color="000000"/>
              <w:left w:val="single" w:sz="4" w:space="0" w:color="000000"/>
              <w:bottom w:val="single" w:sz="4" w:space="0" w:color="000000"/>
              <w:right w:val="single" w:sz="4" w:space="0" w:color="000000"/>
            </w:tcBorders>
            <w:vAlign w:val="center"/>
          </w:tcPr>
          <w:p>
            <w:r>
              <w:t>&lt;0.001</w:t>
            </w:r>
          </w:p>
        </w:tc>
        <w:tc>
          <w:tcPr>
            <w:tcW w:w="1417" w:type="dxa"/>
            <w:tcBorders>
              <w:top w:val="single" w:sz="4" w:space="0" w:color="000000"/>
              <w:left w:val="single" w:sz="4" w:space="0" w:color="000000"/>
              <w:bottom w:val="single" w:sz="4" w:space="0" w:color="000000"/>
              <w:right w:val="single" w:sz="4" w:space="0" w:color="000000"/>
            </w:tcBorders>
            <w:vAlign w:val="center"/>
          </w:tcPr>
          <w:p>
            <w:r>
              <w:t>Сул хэрэгсэл хувьсагч биш</w:t>
            </w:r>
          </w:p>
        </w:tc>
      </w:tr>
      <w:tr w:rsidR="000B782D" w14:paraId="2A4CAF18"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Ажиглалтын тоо</w:t>
            </w:r>
          </w:p>
        </w:tc>
        <w:tc>
          <w:tcPr>
            <w:tcW w:w="1304" w:type="dxa"/>
            <w:tcBorders>
              <w:top w:val="single" w:sz="4" w:space="0" w:color="000000"/>
              <w:left w:val="single" w:sz="4" w:space="0" w:color="000000"/>
              <w:bottom w:val="single" w:sz="4" w:space="0" w:color="000000"/>
              <w:right w:val="single" w:sz="4" w:space="0" w:color="000000"/>
            </w:tcBorders>
            <w:vAlign w:val="center"/>
          </w:tcPr>
          <w:p>
            <w:r>
              <w:t>3,188</w:t>
            </w:r>
          </w:p>
        </w:tc>
        <w:tc>
          <w:tcPr>
            <w:tcW w:w="1474" w:type="dxa"/>
            <w:tcBorders>
              <w:top w:val="single" w:sz="4" w:space="0" w:color="000000"/>
              <w:left w:val="single" w:sz="4" w:space="0" w:color="000000"/>
              <w:bottom w:val="single" w:sz="4" w:space="0" w:color="000000"/>
              <w:right w:val="single" w:sz="4" w:space="0" w:color="000000"/>
            </w:tcBorders>
            <w:vAlign w:val="center"/>
          </w:tcPr>
          <w:p>
            <w:r>
              <w:t>—</w:t>
            </w:r>
          </w:p>
        </w:tc>
        <w:tc>
          <w:tcPr>
            <w:tcW w:w="1361" w:type="dxa"/>
            <w:tcBorders>
              <w:top w:val="single" w:sz="4" w:space="0" w:color="000000"/>
              <w:left w:val="single" w:sz="4" w:space="0" w:color="000000"/>
              <w:bottom w:val="single" w:sz="4" w:space="0" w:color="000000"/>
              <w:right w:val="single" w:sz="4" w:space="0" w:color="000000"/>
            </w:tcBorders>
            <w:vAlign w:val="center"/>
          </w:tcPr>
          <w:p>
            <w:r>
              <w:t>—</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417"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r>
      <w:tr w:rsidR="000B782D" w14:paraId="3D4A9F6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Сул IV шалгуур</w:t>
            </w:r>
          </w:p>
        </w:tc>
        <w:tc>
          <w:tcPr>
            <w:tcW w:w="1304" w:type="dxa"/>
            <w:tcBorders>
              <w:top w:val="single" w:sz="4" w:space="0" w:color="000000"/>
              <w:left w:val="single" w:sz="4" w:space="0" w:color="000000"/>
              <w:bottom w:val="single" w:sz="4" w:space="0" w:color="000000"/>
              <w:right w:val="single" w:sz="4" w:space="0" w:color="000000"/>
            </w:tcBorders>
            <w:vAlign w:val="center"/>
          </w:tcPr>
          <w:p>
            <w:r>
              <w:t>F &lt; 10 биш</w:t>
            </w:r>
          </w:p>
        </w:tc>
        <w:tc>
          <w:tcPr>
            <w:tcW w:w="1474" w:type="dxa"/>
            <w:tcBorders>
              <w:top w:val="single" w:sz="4" w:space="0" w:color="000000"/>
              <w:left w:val="single" w:sz="4" w:space="0" w:color="000000"/>
              <w:bottom w:val="single" w:sz="4" w:space="0" w:color="000000"/>
              <w:right w:val="single" w:sz="4" w:space="0" w:color="000000"/>
            </w:tcBorders>
            <w:vAlign w:val="center"/>
          </w:tcPr>
          <w:p>
            <w:r>
              <w:t>—</w:t>
            </w:r>
          </w:p>
        </w:tc>
        <w:tc>
          <w:tcPr>
            <w:tcW w:w="1361" w:type="dxa"/>
            <w:tcBorders>
              <w:top w:val="single" w:sz="4" w:space="0" w:color="000000"/>
              <w:left w:val="single" w:sz="4" w:space="0" w:color="000000"/>
              <w:bottom w:val="single" w:sz="4" w:space="0" w:color="000000"/>
              <w:right w:val="single" w:sz="4" w:space="0" w:color="000000"/>
            </w:tcBorders>
            <w:vAlign w:val="center"/>
          </w:tcPr>
          <w:p>
            <w:r>
              <w:t>—</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417" w:type="dxa"/>
            <w:tcBorders>
              <w:top w:val="single" w:sz="4" w:space="0" w:color="000000"/>
              <w:left w:val="single" w:sz="4" w:space="0" w:color="000000"/>
              <w:bottom w:val="single" w:sz="4" w:space="0" w:color="000000"/>
              <w:right w:val="single" w:sz="4" w:space="0" w:color="000000"/>
            </w:tcBorders>
            <w:vAlign w:val="center"/>
          </w:tcPr>
          <w:p>
            <w:r>
              <w:t>Weak-IV flag = FALSE</w:t>
            </w:r>
          </w:p>
        </w:tc>
      </w:tr>
      <w:tr w:rsidR="000B782D" w14:paraId="001043C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Кластер</w:t>
            </w:r>
          </w:p>
        </w:tc>
        <w:tc>
          <w:tcPr>
            <w:tcW w:w="1304" w:type="dxa"/>
            <w:tcBorders>
              <w:top w:val="single" w:sz="4" w:space="0" w:color="000000"/>
              <w:left w:val="single" w:sz="4" w:space="0" w:color="000000"/>
              <w:bottom w:val="single" w:sz="4" w:space="0" w:color="000000"/>
              <w:right w:val="single" w:sz="4" w:space="0" w:color="000000"/>
            </w:tcBorders>
            <w:vAlign w:val="center"/>
          </w:tcPr>
          <w:p>
            <w:r>
              <w:t>Төрсөн аймаг</w:t>
            </w:r>
          </w:p>
        </w:tc>
        <w:tc>
          <w:tcPr>
            <w:tcW w:w="1474" w:type="dxa"/>
            <w:tcBorders>
              <w:top w:val="single" w:sz="4" w:space="0" w:color="000000"/>
              <w:left w:val="single" w:sz="4" w:space="0" w:color="000000"/>
              <w:bottom w:val="single" w:sz="4" w:space="0" w:color="000000"/>
              <w:right w:val="single" w:sz="4" w:space="0" w:color="000000"/>
            </w:tcBorders>
            <w:vAlign w:val="center"/>
          </w:tcPr>
          <w:p>
            <w:r>
              <w:t>—</w:t>
            </w:r>
          </w:p>
        </w:tc>
        <w:tc>
          <w:tcPr>
            <w:tcW w:w="1361" w:type="dxa"/>
            <w:tcBorders>
              <w:top w:val="single" w:sz="4" w:space="0" w:color="000000"/>
              <w:left w:val="single" w:sz="4" w:space="0" w:color="000000"/>
              <w:bottom w:val="single" w:sz="4" w:space="0" w:color="000000"/>
              <w:right w:val="single" w:sz="4" w:space="0" w:color="000000"/>
            </w:tcBorders>
            <w:vAlign w:val="center"/>
          </w:tcPr>
          <w:p>
            <w:r>
              <w:t>—</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417" w:type="dxa"/>
            <w:tcBorders>
              <w:top w:val="single" w:sz="4" w:space="0" w:color="000000"/>
              <w:left w:val="single" w:sz="4" w:space="0" w:color="000000"/>
              <w:bottom w:val="single" w:sz="4" w:space="0" w:color="000000"/>
              <w:right w:val="single" w:sz="4" w:space="0" w:color="000000"/>
            </w:tcBorders>
            <w:vAlign w:val="center"/>
          </w:tcPr>
          <w:p>
            <w:r>
              <w:t>22 кластер</w:t>
            </w:r>
          </w:p>
        </w:tc>
      </w:tr>
    </w:tbl>
    <w:p w14:paraId="0B04BC8E" w14:textId="77777777" w:rsidR="000B782D" w:rsidRDefault="0018275F">
      <w:pPr>
        <w:spacing w:before="60" w:after="0" w:line="264" w:lineRule="auto"/>
      </w:pPr>
      <w:r>
        <w:t>ХШХБК үнэлгээний хүчин төгөлдөр байдлын эхний шаардлага нь хэрэгсэл хувьсагч боловсролын жилтэй хангалттай хүчтэй холбоотой байх явдал юм. Эцэг, эхийн боловсролын дундажийн эхний шатны коэффициент 0.3623, стандарт алдаа 0.0153, F статистик 558.45 гарсан. Энэ нь сул хэрэгсэл хувьсагчийн уламжлалт босго болох 10-аас үлэмж өндөр тул хамаарлын нөхцөл хангагдсан гэж үзэх үндэслэлтэй.</w:t>
      </w:r>
    </w:p>
    <w:p w14:paraId="4FC23AD9" w14:textId="77777777" w:rsidR="000B782D" w:rsidRDefault="0018275F">
      <w:pPr>
        <w:spacing w:before="60" w:after="240" w:line="276" w:lineRule="auto"/>
      </w:pPr>
      <w:r>
        <w:t>Хүснэгт 4  Эцэг, эхийн боловсролын дундажийн эхний шатны шалгалт</w:t>
      </w:r>
    </w:p>
    <w:p w14:paraId="69588538" w14:textId="77777777" w:rsidR="000B782D" w:rsidRDefault="0018275F">
      <w:pPr>
        <w:ind w:firstLine="567"/>
      </w:pPr>
      <w:r>
        <w:t>Тэмдэглэл: Хамаарах хувьсагч нь боловсролын жил. Загварт нас, насны квадрат, хүйс, гэрлэлтийн байдал, хотын суурьшил, төрсөн аймаг, төрсөн үеийн бүлэг, судалгааны давалгааны тогтмол нөлөө болон түүврийн жинг харгалзсан.</w:t>
      </w:r>
    </w:p>
    <w:p w14:paraId="03FB9CAD" w14:textId="77777777" w:rsidR="000B782D" w:rsidRDefault="0018275F">
      <w:pPr>
        <w:ind w:firstLine="567"/>
      </w:pPr>
      <w:r>
        <w:t>Эх сурвалж: Оюутны тооцоолол</w:t>
      </w:r>
    </w:p>
    <w:p w14:paraId="66B63877" w14:textId="77777777" w:rsidR="000B782D" w:rsidRDefault="0018275F">
      <w:pPr>
        <w:pStyle w:val="Heading2"/>
        <w:spacing w:after="120"/>
      </w:pPr>
      <w:r>
        <w:t>Гэхдээ эцэг, эхийн боловсролын дундаж нь цалинд зөвхөн боловсролоор дамжин нөлөөлнө гэсэн хязгаарлалтын таамаглал бүрэн батлагдах боломжгүй. Гэр бүлийн сүлжээ, хүмүүжил, ажиглагдахгүй чадвар зэрэг сувгаар шууд нөлөө үлдэх эрсдэлтэй тул ХШХБК болон ХХБР үр дүнг шалтгаант тайлбартай боловч болгоомжтой унших шаардлагатай.</w:t>
      </w:r>
    </w:p>
    <w:p w14:paraId="77A12018" w14:textId="77777777" w:rsidR="000B782D" w:rsidRDefault="0018275F">
      <w:pPr>
        <w:ind w:firstLine="567"/>
      </w:pPr>
      <w:r>
        <w:t>4.3. Босгоны сүлжээн хайлт</w:t>
      </w:r>
    </w:p>
    <w:p w14:paraId="7B592403" w14:textId="77777777" w:rsidR="000B782D" w:rsidRDefault="0018275F">
      <w:pPr>
        <w:spacing w:before="60" w:after="60" w:line="276" w:lineRule="auto"/>
      </w:pPr>
      <w:r>
        <w:t>ХХБР үнэлгээний дараагийн алхам нь 17–18 насны сурагч-багшийн дундаж харьцааны боломжит босго утгуудыг сүлжээн хайлтаар шалгах явдал юм. Хайлтыг босго хувьсагчийн 15–85 хувийн мужид хязгаарласнаар хоёр регимийн аль нэгэнд хэт цөөн ажиглалт үлдэхээс сэргийлсэн. Нийт 278 боломжит босго шалгагдаж, хамгийн бага нэгтгэн агшаасан алдааны квадратын нийлбэртэй утга 19.53 сурагч/багш дээр тогтов.</w:t>
      </w:r>
    </w:p>
    <w:p w14:paraId="25C78B7D" w14:textId="77777777" w:rsidR="00313831" w:rsidRDefault="00F44A9E">
      <w:pPr/>
      <w:r>
        <w:t>Зураг 4  Босгоны сүлжээн хайлтын үр дүн</w:t>
      </w:r>
    </w:p>
    <w:p w14:paraId="733F12BF" w14:textId="6ACD88F2" w:rsidR="000B782D" w:rsidRDefault="0018275F">
      <w:pPr>
        <w:spacing w:before="60" w:after="240" w:line="276" w:lineRule="auto"/>
        <w:jc w:val="center"/>
        <w:rPr>
          <w:i/>
          <w:sz w:val="20"/>
        </w:rPr>
      </w:pPr>
      <w:r>
        <w:drawing>
          <wp:inline xmlns:a="http://schemas.openxmlformats.org/drawingml/2006/main" xmlns:pic="http://schemas.openxmlformats.org/drawingml/2006/picture">
            <wp:extent cx="5303520" cy="3447288"/>
            <wp:docPr id="14" name="Picture 14"/>
            <wp:cNvGraphicFramePr>
              <a:graphicFrameLocks noChangeAspect="1"/>
            </wp:cNvGraphicFramePr>
            <a:graphic>
              <a:graphicData uri="http://schemas.openxmlformats.org/drawingml/2006/picture">
                <pic:pic>
                  <pic:nvPicPr>
                    <pic:cNvPr id="0" name="academic_student_teacher_avg_17_18_threshold_grid.png"/>
                    <pic:cNvPicPr/>
                  </pic:nvPicPr>
                  <pic:blipFill>
                    <a:blip r:embed="rId21"/>
                    <a:stretch>
                      <a:fillRect/>
                    </a:stretch>
                  </pic:blipFill>
                  <pic:spPr>
                    <a:xfrm>
                      <a:off x="0" y="0"/>
                      <a:ext cx="5303520" cy="3447288"/>
                    </a:xfrm>
                    <a:prstGeom prst="rect"/>
                  </pic:spPr>
                </pic:pic>
              </a:graphicData>
            </a:graphic>
          </wp:inline>
        </w:drawing>
      </w:r>
    </w:p>
    <w:p w14:paraId="6A0BABD0" w14:textId="2CAE3144" w:rsidR="00371247" w:rsidRDefault="00371247">
      <w:pPr>
        <w:spacing w:before="60" w:after="240" w:line="276" w:lineRule="auto"/>
        <w:rPr>
          <w:i/>
          <w:sz w:val="20"/>
        </w:rPr>
      </w:pPr>
      <w:r>
        <w:t>Эх сурвалж: Оюутны тооцоолол</w:t>
      </w:r>
    </w:p>
    <w:p w14:paraId="31A4D7FE" w14:textId="77777777" w:rsidR="00371247" w:rsidRDefault="00371247">
      <w:pPr>
        <w:spacing w:before="60" w:after="240" w:line="276" w:lineRule="auto"/>
      </w:pPr>
      <w:r>
        <w:t>Зураг 4-т төвлөрсөн зорилгын функц хамгийн бага утгаа 19.53 орчимд авч байгааг харуулав. Энэ босгоны доод талд 1,051 ажиглалт, дээд талд 2,137 ажиглалт ногдсон. Тайлбарын хувьд босгоноос доогуур утга нь нэг багшид ногдох сурагчийн тоо харьцангуй бага буюу сургуулийн орчны ачаалал бага регимийг, босгоноос өндөр утга нь сургуулийн орчны ачаалал өндөр регимийг илэрхийлнэ.</w:t>
      </w:r>
    </w:p>
    <w:p w14:paraId="55BF2F82" w14:textId="77777777" w:rsidR="000B782D" w:rsidRDefault="0018275F">
      <w:pPr>
        <w:spacing w:before="240" w:after="60" w:line="276" w:lineRule="auto"/>
      </w:pPr>
      <w:r>
        <w:t>Хүснэгт 5  ХХБР үндсэн үнэлгээний үр дүн</w:t>
      </w:r>
    </w:p>
    <w:tbl>
      <w:tblPr>
        <w:tblW w:w="0" w:type="auto"/>
        <w:jc w:val="center"/>
        <w:tblLayout w:type="fixed"/>
        <w:tblLook w:val="04A0" w:firstRow="1" w:lastRow="0" w:firstColumn="1" w:lastColumn="0" w:noHBand="0" w:noVBand="1"/>
      </w:tblPr>
      <w:tblGrid>
        <w:gridCol w:w="5669"/>
        <w:gridCol w:w="3402"/>
      </w:tblGrid>
      <w:tr w:rsidR="000B782D" w14:paraId="17F5975A"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r>
              <w:t>Утга</w:t>
            </w:r>
          </w:p>
        </w:tc>
      </w:tr>
      <w:tr w:rsidR="000B782D" w14:paraId="58EF9A0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r>
              <w:t>19.53 сурагч/багш</w:t>
            </w:r>
          </w:p>
        </w:tc>
      </w:tr>
      <w:tr w:rsidR="000B782D" w14:paraId="6872308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Доод регимийн ажиглалт</w:t>
            </w:r>
          </w:p>
        </w:tc>
        <w:tc>
          <w:tcPr>
            <w:tcW w:w="3402" w:type="dxa"/>
            <w:tcBorders>
              <w:top w:val="single" w:sz="4" w:space="0" w:color="000000"/>
              <w:left w:val="single" w:sz="4" w:space="0" w:color="000000"/>
              <w:bottom w:val="single" w:sz="4" w:space="0" w:color="000000"/>
              <w:right w:val="single" w:sz="4" w:space="0" w:color="000000"/>
            </w:tcBorders>
            <w:vAlign w:val="center"/>
          </w:tcPr>
          <w:p>
            <w:r>
              <w:t>1,051</w:t>
            </w:r>
          </w:p>
        </w:tc>
      </w:tr>
      <w:tr w:rsidR="000B782D" w14:paraId="57B159B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Дээд регимийн ажиглалт</w:t>
            </w:r>
          </w:p>
        </w:tc>
        <w:tc>
          <w:tcPr>
            <w:tcW w:w="3402" w:type="dxa"/>
            <w:tcBorders>
              <w:top w:val="single" w:sz="4" w:space="0" w:color="000000"/>
              <w:left w:val="single" w:sz="4" w:space="0" w:color="000000"/>
              <w:bottom w:val="single" w:sz="4" w:space="0" w:color="000000"/>
              <w:right w:val="single" w:sz="4" w:space="0" w:color="000000"/>
            </w:tcBorders>
            <w:vAlign w:val="center"/>
          </w:tcPr>
          <w:p>
            <w:r>
              <w:t>2,137</w:t>
            </w:r>
          </w:p>
        </w:tc>
      </w:tr>
      <w:tr w:rsidR="000B782D" w14:paraId="76CE360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Доод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vAlign w:val="center"/>
          </w:tcPr>
          <w:p>
            <w:r>
              <w:t>0.0784</w:t>
            </w:r>
          </w:p>
        </w:tc>
      </w:tr>
      <w:tr w:rsidR="000B782D" w14:paraId="2ED89A8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Доод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r>
              <w:t>0.0191</w:t>
            </w:r>
          </w:p>
        </w:tc>
      </w:tr>
      <w:tr w:rsidR="000B782D" w14:paraId="0A9AFCB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Доод регимийн өгөөж</w:t>
            </w:r>
          </w:p>
        </w:tc>
        <w:tc>
          <w:tcPr>
            <w:tcW w:w="3402" w:type="dxa"/>
            <w:tcBorders>
              <w:top w:val="single" w:sz="4" w:space="0" w:color="000000"/>
              <w:left w:val="single" w:sz="4" w:space="0" w:color="000000"/>
              <w:bottom w:val="single" w:sz="4" w:space="0" w:color="000000"/>
              <w:right w:val="single" w:sz="4" w:space="0" w:color="000000"/>
            </w:tcBorders>
            <w:vAlign w:val="center"/>
          </w:tcPr>
          <w:p>
            <w:r>
              <w:t>8.2%</w:t>
            </w:r>
          </w:p>
        </w:tc>
      </w:tr>
      <w:tr w:rsidR="000B782D" w14:paraId="1EC0301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Дээд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vAlign w:val="center"/>
          </w:tcPr>
          <w:p>
            <w:r>
              <w:t>0.1094</w:t>
            </w:r>
          </w:p>
        </w:tc>
      </w:tr>
      <w:tr w:rsidR="000B782D" w14:paraId="004BA63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Дээд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r>
              <w:t>0.0095</w:t>
            </w:r>
          </w:p>
        </w:tc>
      </w:tr>
      <w:tr w:rsidR="000B782D" w14:paraId="00078E4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Дээд регимийн өгөөж</w:t>
            </w:r>
          </w:p>
        </w:tc>
        <w:tc>
          <w:tcPr>
            <w:tcW w:w="3402" w:type="dxa"/>
            <w:tcBorders>
              <w:top w:val="single" w:sz="4" w:space="0" w:color="000000"/>
              <w:left w:val="single" w:sz="4" w:space="0" w:color="000000"/>
              <w:bottom w:val="single" w:sz="4" w:space="0" w:color="000000"/>
              <w:right w:val="single" w:sz="4" w:space="0" w:color="000000"/>
            </w:tcBorders>
            <w:vAlign w:val="center"/>
          </w:tcPr>
          <w:p>
            <w:r>
              <w:t>11.6%</w:t>
            </w:r>
          </w:p>
        </w:tc>
      </w:tr>
      <w:tr w:rsidR="000B782D" w14:paraId="39A2366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Коэффициентийн зөрүү</w:t>
            </w:r>
          </w:p>
        </w:tc>
        <w:tc>
          <w:tcPr>
            <w:tcW w:w="3402" w:type="dxa"/>
            <w:tcBorders>
              <w:top w:val="single" w:sz="4" w:space="0" w:color="000000"/>
              <w:left w:val="single" w:sz="4" w:space="0" w:color="000000"/>
              <w:bottom w:val="single" w:sz="4" w:space="0" w:color="000000"/>
              <w:right w:val="single" w:sz="4" w:space="0" w:color="000000"/>
            </w:tcBorders>
            <w:vAlign w:val="center"/>
          </w:tcPr>
          <w:p>
            <w:r>
              <w:t>0.0310</w:t>
            </w:r>
          </w:p>
        </w:tc>
      </w:tr>
      <w:tr w:rsidR="000B782D" w14:paraId="3FD04C5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Босгоны үүрэг</w:t>
            </w:r>
          </w:p>
        </w:tc>
        <w:tc>
          <w:tcPr>
            <w:tcW w:w="3402" w:type="dxa"/>
            <w:tcBorders>
              <w:top w:val="single" w:sz="4" w:space="0" w:color="000000"/>
              <w:left w:val="single" w:sz="4" w:space="0" w:color="000000"/>
              <w:bottom w:val="single" w:sz="4" w:space="0" w:color="000000"/>
              <w:right w:val="single" w:sz="4" w:space="0" w:color="000000"/>
            </w:tcBorders>
            <w:vAlign w:val="center"/>
          </w:tcPr>
          <w:p>
            <w:r>
              <w:t>Регим ялгах; хэрэгсэл хувьсагч биш</w:t>
            </w:r>
          </w:p>
        </w:tc>
      </w:tr>
      <w:tr w:rsidR="000B782D" w14:paraId="56559F4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Тайлбар</w:t>
            </w:r>
          </w:p>
        </w:tc>
        <w:tc>
          <w:tcPr>
            <w:tcW w:w="3402" w:type="dxa"/>
            <w:tcBorders>
              <w:top w:val="single" w:sz="4" w:space="0" w:color="000000"/>
              <w:left w:val="single" w:sz="4" w:space="0" w:color="000000"/>
              <w:bottom w:val="single" w:sz="4" w:space="0" w:color="000000"/>
              <w:right w:val="single" w:sz="4" w:space="0" w:color="000000"/>
            </w:tcBorders>
            <w:vAlign w:val="center"/>
          </w:tcPr>
          <w:p>
            <w:r>
              <w:t>Сургуулийн орчны ачааллын босго</w:t>
            </w:r>
          </w:p>
        </w:tc>
      </w:tr>
    </w:tbl>
    <w:p w14:paraId="2DCD4FE0" w14:textId="77777777" w:rsidR="000B782D" w:rsidRDefault="0018275F">
      <w:pPr>
        <w:spacing w:before="60" w:after="0" w:line="264" w:lineRule="auto"/>
      </w:pPr>
      <w:r>
        <w:t>Тэмдэглэл: Доод регим нь сурагч-багшийн дундаж харьцаа 19.53-аас бага эсвэл тэнцүү, дээд регим нь 19.53-аас их утгатай ажиглалтуудыг илэрхийлнэ. Босго хувьсагч нь хэрэгсэл хувьсагч биш, зөвхөн регим ялгах үүрэгтэй.</w:t>
      </w:r>
    </w:p>
    <w:p w14:paraId="387E045D" w14:textId="77777777" w:rsidR="000B782D" w:rsidRDefault="0018275F">
      <w:pPr>
        <w:spacing w:before="60" w:after="240" w:line="276" w:lineRule="auto"/>
      </w:pPr>
      <w:r>
        <w:t>Эх сурвалж: Оюутны тооцоолол</w:t>
      </w:r>
    </w:p>
    <w:p w14:paraId="557A4245" w14:textId="77777777" w:rsidR="000B782D" w:rsidRDefault="0018275F">
      <w:pPr>
        <w:spacing w:before="60" w:after="60" w:line="276" w:lineRule="auto"/>
      </w:pPr>
      <w:r>
        <w:t>4.4. Регим тус бүрийн боловсролын өгөөж</w:t>
      </w:r>
    </w:p>
    <w:p w14:paraId="4E4D2CC7" w14:textId="77777777" w:rsidR="00313831" w:rsidRDefault="00F44A9E">
      <w:pPr/>
      <w:r>
        <w:t>ХХБР үнэлгээгээр доод регимийн боловсролын коэффициент 0.0784, дээд регимийн коэффициент 0.1094 гарсан. Хувийн өгөөж болгон хөрвүүлэхэд доод регимд боловсролын нэмэлт нэг жил цалинг ойролцоогоор 8.2 хувиар, дээд регимд 11.6 хувиар нэмэгдүүлж байна. Иймээс сурагч-багшийн харьцаа өндөр сургуулийн орчинд өссөн ажиллагчдын хувьд боловсролын цалингийн өгөөж 3.1 нэгж хувиар өндөр байна.</w:t>
      </w:r>
    </w:p>
    <w:p w14:paraId="01BBB4B9" w14:textId="77777777" w:rsidR="000B782D" w:rsidRDefault="0018275F">
      <w:pPr>
        <w:ind w:firstLine="567"/>
      </w:pPr>
      <w:r>
        <w:t>Зураг 5  Босгоор ялгасан боловсролын өгөөж</w:t>
      </w:r>
    </w:p>
    <w:p w14:paraId="1910DC4D" w14:textId="77777777" w:rsidR="000B782D" w:rsidRDefault="0018275F">
      <w:pPr>
        <w:spacing w:before="60" w:after="240" w:line="276" w:lineRule="auto"/>
        <w:jc w:val="center"/>
      </w:pPr>
      <w:r>
        <w:drawing>
          <wp:inline xmlns:a="http://schemas.openxmlformats.org/drawingml/2006/main" xmlns:pic="http://schemas.openxmlformats.org/drawingml/2006/picture">
            <wp:extent cx="5303520" cy="3756660"/>
            <wp:docPr id="15" name="Picture 15"/>
            <wp:cNvGraphicFramePr>
              <a:graphicFrameLocks noChangeAspect="1"/>
            </wp:cNvGraphicFramePr>
            <a:graphic>
              <a:graphicData uri="http://schemas.openxmlformats.org/drawingml/2006/picture">
                <pic:pic>
                  <pic:nvPicPr>
                    <pic:cNvPr id="0" name="academic_student_teacher_avg_17_18_regime_returns.png"/>
                    <pic:cNvPicPr/>
                  </pic:nvPicPr>
                  <pic:blipFill>
                    <a:blip r:embed="rId22"/>
                    <a:stretch>
                      <a:fillRect/>
                    </a:stretch>
                  </pic:blipFill>
                  <pic:spPr>
                    <a:xfrm>
                      <a:off x="0" y="0"/>
                      <a:ext cx="5303520" cy="3756660"/>
                    </a:xfrm>
                    <a:prstGeom prst="rect"/>
                  </pic:spPr>
                </pic:pic>
              </a:graphicData>
            </a:graphic>
          </wp:inline>
        </w:drawing>
      </w:r>
    </w:p>
    <w:p w14:paraId="36E02734" w14:textId="77777777" w:rsidR="000B782D" w:rsidRDefault="0018275F">
      <w:pPr>
        <w:ind w:firstLine="567"/>
      </w:pPr>
      <w:r>
        <w:t>Эх сурвалж: Оюутны тооцоолол</w:t>
      </w:r>
    </w:p>
    <w:p w14:paraId="504CCD55" w14:textId="77777777" w:rsidR="000B782D" w:rsidRDefault="0018275F">
      <w:pPr>
        <w:ind w:firstLine="567"/>
      </w:pPr>
      <w:r>
        <w:t>Энэхүү ялгааг сурагч-багшийн харьцаа өөрөө цалинг шууд өөрчилж байна гэж тайлбарлахгүй. Харин уг харьцаа нь тухайн хүний хүүхэд ахуйн сургуулийн орчны ачааллыг төлөөлөх урьдчилан тогтсон үзүүлэлт бөгөөд боловсролын өгөөжийн налуу өөр өөр байж болох хоёр регимийг ялгаж байна. Иймээс гол олдвор нь “сургуулийн орчны ялгаагаар боловсролын өгөөжийн хэмжээ өөр байна” гэсэн регимийн ялгаанд оршино.</w:t>
      </w:r>
    </w:p>
    <w:p w14:paraId="2D6E0EBF" w14:textId="77777777" w:rsidR="000B782D" w:rsidRDefault="0018275F">
      <w:pPr>
        <w:ind w:firstLine="567"/>
      </w:pPr>
      <w:r>
        <w:t>4.5. Бүүтстрап бат бөх байдлын шинжилгээ</w:t>
      </w:r>
    </w:p>
    <w:p w14:paraId="72387932" w14:textId="77777777" w:rsidR="000B782D" w:rsidRDefault="0018275F">
      <w:pPr>
        <w:ind w:firstLine="567"/>
      </w:pPr>
      <w:r>
        <w:t>Босгоны байрлал болон регимүүдийн өгөөжийн зөрүүг төрсөн аймгийн түвшинд кластерласан 399 удаагийн бүүтстрап дахин түүвэрлэлтийн аргаар шалгав. Босгоны бүүтстрап медиан 19.56, 2.5 ба 97.5 хувийн перцентиль нь 18.48 болон 25.53 байна. Энэ нь босго 19–20 орчимд төвлөрч байгаа боловч дээд талдаа тодорхой хэлбэлзэлтэй болохыг харуулна.</w:t>
      </w:r>
    </w:p>
    <w:p w14:paraId="7B8E5BC3" w14:textId="5624EA88" w:rsidR="000B782D" w:rsidRDefault="000B782D">
      <w:pPr>
        <w:ind w:firstLine="567"/>
      </w:pPr>
      <w:r>
        <w:t>Зураг 6  Босго утгын бүүтстрап тархалт</w:t>
      </w:r>
    </w:p>
    <w:p w14:paraId="61464064" w14:textId="15D7CE5A" w:rsidR="00371247" w:rsidRDefault="00371247">
      <w:pPr>
        <w:ind w:firstLine="567"/>
        <w:jc w:val="center"/>
      </w:pPr>
      <w:r>
        <w:drawing>
          <wp:inline xmlns:a="http://schemas.openxmlformats.org/drawingml/2006/main" xmlns:pic="http://schemas.openxmlformats.org/drawingml/2006/picture">
            <wp:extent cx="5303520" cy="3447288"/>
            <wp:docPr id="16" name="Picture 16"/>
            <wp:cNvGraphicFramePr>
              <a:graphicFrameLocks noChangeAspect="1"/>
            </wp:cNvGraphicFramePr>
            <a:graphic>
              <a:graphicData uri="http://schemas.openxmlformats.org/drawingml/2006/picture">
                <pic:pic>
                  <pic:nvPicPr>
                    <pic:cNvPr id="0" name="academic_student_teacher_avg_17_18_gamma_bootstrap.png"/>
                    <pic:cNvPicPr/>
                  </pic:nvPicPr>
                  <pic:blipFill>
                    <a:blip r:embed="rId23"/>
                    <a:stretch>
                      <a:fillRect/>
                    </a:stretch>
                  </pic:blipFill>
                  <pic:spPr>
                    <a:xfrm>
                      <a:off x="0" y="0"/>
                      <a:ext cx="5303520" cy="3447288"/>
                    </a:xfrm>
                    <a:prstGeom prst="rect"/>
                  </pic:spPr>
                </pic:pic>
              </a:graphicData>
            </a:graphic>
          </wp:inline>
        </w:drawing>
      </w:r>
    </w:p>
    <w:p w14:paraId="1313FDA2" w14:textId="77777777" w:rsidR="00371247" w:rsidRDefault="00371247">
      <w:pPr>
        <w:ind w:firstLine="567"/>
      </w:pPr>
      <w:r>
        <w:t>Эх сурвалж: Оюутны тооцоолол</w:t>
      </w:r>
    </w:p>
    <w:p w14:paraId="1F63378F" w14:textId="77777777" w:rsidR="000B782D" w:rsidRDefault="0018275F">
      <w:pPr>
        <w:spacing w:before="60" w:after="60" w:line="276" w:lineRule="auto"/>
      </w:pPr>
      <w:r>
        <w:t>Регимүүдийн коэффициентийн зөрүүний бүүтстрап итгэлийн интервал [0.0044; 0.0608] гарч, тэгийг агуулаагүй. Эмпирик p-утга 0.0451 байгаа нь 399 давталттай бүүтстрапын хүрээнд регимийн ялгаа 5 хувийн түвшинд статистикийн хувьд ач холбогдолтойг харуулна. Гэхдээ давталтын тоо 1,999 болгож өргөтгөөгүй тул энэхүү ач холбогдлыг хэт хүчтэй дүгнэлт бус, үндсэн нотолгоог дэмжсэн эмпирик үр дүн гэж болгоомжтой тайлбарлана.</w:t>
      </w:r>
    </w:p>
    <w:p w14:paraId="3C573C32" w14:textId="4A093018" w:rsidR="00313831" w:rsidRDefault="00F44A9E">
      <w:pPr/>
      <w:r>
        <w:t>Зураг 7  Регимүүдийн өгөөжийн зөрүүний бүүтстрап тархалт</w:t>
      </w:r>
    </w:p>
    <w:p w14:paraId="5D86DC7D" w14:textId="1CD34B71" w:rsidR="00371247" w:rsidRDefault="00371247" w:rsidP="00371247">
      <w:pPr>
        <w:spacing w:before="60" w:after="240" w:line="276" w:lineRule="auto"/>
        <w:jc w:val="center"/>
      </w:pPr>
      <w:r>
        <w:drawing>
          <wp:inline xmlns:a="http://schemas.openxmlformats.org/drawingml/2006/main" xmlns:pic="http://schemas.openxmlformats.org/drawingml/2006/picture">
            <wp:extent cx="5303520" cy="3447288"/>
            <wp:docPr id="17" name="Picture 17"/>
            <wp:cNvGraphicFramePr>
              <a:graphicFrameLocks noChangeAspect="1"/>
            </wp:cNvGraphicFramePr>
            <a:graphic>
              <a:graphicData uri="http://schemas.openxmlformats.org/drawingml/2006/picture">
                <pic:pic>
                  <pic:nvPicPr>
                    <pic:cNvPr id="0" name="academic_student_teacher_avg_17_18_beta_diff_bootstrap.png"/>
                    <pic:cNvPicPr/>
                  </pic:nvPicPr>
                  <pic:blipFill>
                    <a:blip r:embed="rId24"/>
                    <a:stretch>
                      <a:fillRect/>
                    </a:stretch>
                  </pic:blipFill>
                  <pic:spPr>
                    <a:xfrm>
                      <a:off x="0" y="0"/>
                      <a:ext cx="5303520" cy="3447288"/>
                    </a:xfrm>
                    <a:prstGeom prst="rect"/>
                  </pic:spPr>
                </pic:pic>
              </a:graphicData>
            </a:graphic>
          </wp:inline>
        </w:drawing>
      </w:r>
    </w:p>
    <w:p w14:paraId="79AD1C6F" w14:textId="77777777" w:rsidR="000B782D" w:rsidRDefault="0018275F" w:rsidP="00371247">
      <w:pPr>
        <w:spacing w:after="60"/>
      </w:pPr>
      <w:r>
        <w:t>Эх сурвалж: Оюутны тооцоолол</w:t>
      </w:r>
    </w:p>
    <w:p w14:paraId="1251C7C8" w14:textId="77777777" w:rsidR="000B782D" w:rsidRDefault="0018275F">
      <w:pPr>
        <w:pStyle w:val="Heading2"/>
        <w:spacing w:after="120"/>
      </w:pPr>
      <w:r>
        <w:t>Хүснэгт 6  Бүүтстрап дүгнэлтийн нэгтгэл</w:t>
      </w:r>
    </w:p>
    <w:p w14:paraId="6669F303" w14:textId="77777777" w:rsidR="000B782D" w:rsidRDefault="0018275F">
      <w:pPr>
        <w:ind w:firstLine="567"/>
      </w:pPr>
      <w:r>
        <w:t>Тэмдэглэл: Бүүтстрап давталтын тоо 399. Итгэлийн интервалууд нь перцентиль аргад тулгуурласан. p-утга нь регимүүдийн өгөөжийн зөрүү тэгтэй тэнцүү гэсэн таамаглалыг шалгана.</w:t>
      </w:r>
    </w:p>
    <w:p w14:paraId="099C97A4" w14:textId="77777777" w:rsidR="000B782D" w:rsidRDefault="0018275F">
      <w:pPr>
        <w:ind w:firstLine="567"/>
      </w:pPr>
      <w:r>
        <w:t>Эх сурвалж: Оюутны тооцоолол</w:t>
      </w:r>
    </w:p>
    <w:p w14:paraId="57722CC4" w14:textId="77777777" w:rsidR="000B782D" w:rsidRDefault="0018275F">
      <w:pPr>
        <w:spacing w:before="240" w:after="60" w:line="276" w:lineRule="auto"/>
      </w:pPr>
      <w:r>
        <w:t>4.6. Эконометрик үр дүнгийн нэгдсэн дүгнэлт</w:t>
      </w:r>
    </w:p>
    <w:tbl>
      <w:tblPr>
        <w:tblW w:w="0" w:type="auto"/>
        <w:jc w:val="center"/>
        <w:tblLayout w:type="fixed"/>
        <w:tblLook w:val="04A0" w:firstRow="1" w:lastRow="0" w:firstColumn="1" w:lastColumn="0" w:noHBand="0" w:noVBand="1"/>
      </w:tblPr>
      <w:tblGrid>
        <w:gridCol w:w="2835"/>
        <w:gridCol w:w="2098"/>
        <w:gridCol w:w="2098"/>
        <w:gridCol w:w="1701"/>
      </w:tblGrid>
      <w:tr w:rsidR="000B782D" w14:paraId="47AB2396"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r>
              <w:t>Утга</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r>
              <w:t>Утга</w:t>
            </w:r>
          </w:p>
        </w:tc>
      </w:tr>
      <w:tr w:rsidR="000B782D" w14:paraId="30CB043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Бүүтстрап давталт</w:t>
            </w:r>
          </w:p>
        </w:tc>
        <w:tc>
          <w:tcPr>
            <w:tcW w:w="2098" w:type="dxa"/>
            <w:tcBorders>
              <w:top w:val="single" w:sz="4" w:space="0" w:color="000000"/>
              <w:left w:val="single" w:sz="4" w:space="0" w:color="000000"/>
              <w:bottom w:val="single" w:sz="4" w:space="0" w:color="000000"/>
              <w:right w:val="single" w:sz="4" w:space="0" w:color="000000"/>
            </w:tcBorders>
            <w:vAlign w:val="center"/>
          </w:tcPr>
          <w:p>
            <w:r>
              <w:t>399</w:t>
            </w:r>
          </w:p>
        </w:tc>
        <w:tc>
          <w:tcPr>
            <w:tcW w:w="2098" w:type="dxa"/>
            <w:tcBorders>
              <w:top w:val="single" w:sz="4" w:space="0" w:color="000000"/>
              <w:left w:val="single" w:sz="4" w:space="0" w:color="000000"/>
              <w:bottom w:val="single" w:sz="4" w:space="0" w:color="000000"/>
              <w:right w:val="single" w:sz="4" w:space="0" w:color="000000"/>
            </w:tcBorders>
            <w:vAlign w:val="center"/>
          </w:tcPr>
          <w:p>
            <w:r>
              <w:t>Амжилттай давталт</w:t>
            </w:r>
          </w:p>
        </w:tc>
        <w:tc>
          <w:tcPr>
            <w:tcW w:w="1701" w:type="dxa"/>
            <w:tcBorders>
              <w:top w:val="single" w:sz="4" w:space="0" w:color="000000"/>
              <w:left w:val="single" w:sz="4" w:space="0" w:color="000000"/>
              <w:bottom w:val="single" w:sz="4" w:space="0" w:color="000000"/>
              <w:right w:val="single" w:sz="4" w:space="0" w:color="000000"/>
            </w:tcBorders>
            <w:vAlign w:val="center"/>
          </w:tcPr>
          <w:p>
            <w:r>
              <w:t>399</w:t>
            </w:r>
          </w:p>
        </w:tc>
      </w:tr>
      <w:tr w:rsidR="000B782D" w14:paraId="3266B9E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Босго 2.5%</w:t>
            </w:r>
          </w:p>
        </w:tc>
        <w:tc>
          <w:tcPr>
            <w:tcW w:w="2098" w:type="dxa"/>
            <w:tcBorders>
              <w:top w:val="single" w:sz="4" w:space="0" w:color="000000"/>
              <w:left w:val="single" w:sz="4" w:space="0" w:color="000000"/>
              <w:bottom w:val="single" w:sz="4" w:space="0" w:color="000000"/>
              <w:right w:val="single" w:sz="4" w:space="0" w:color="000000"/>
            </w:tcBorders>
            <w:vAlign w:val="center"/>
          </w:tcPr>
          <w:p>
            <w:r>
              <w:t>18.48</w:t>
            </w:r>
          </w:p>
        </w:tc>
        <w:tc>
          <w:tcPr>
            <w:tcW w:w="2098" w:type="dxa"/>
            <w:tcBorders>
              <w:top w:val="single" w:sz="4" w:space="0" w:color="000000"/>
              <w:left w:val="single" w:sz="4" w:space="0" w:color="000000"/>
              <w:bottom w:val="single" w:sz="4" w:space="0" w:color="000000"/>
              <w:right w:val="single" w:sz="4" w:space="0" w:color="000000"/>
            </w:tcBorders>
            <w:vAlign w:val="center"/>
          </w:tcPr>
          <w:p>
            <w:r>
              <w:t>Босго медиан</w:t>
            </w:r>
          </w:p>
        </w:tc>
        <w:tc>
          <w:tcPr>
            <w:tcW w:w="1701" w:type="dxa"/>
            <w:tcBorders>
              <w:top w:val="single" w:sz="4" w:space="0" w:color="000000"/>
              <w:left w:val="single" w:sz="4" w:space="0" w:color="000000"/>
              <w:bottom w:val="single" w:sz="4" w:space="0" w:color="000000"/>
              <w:right w:val="single" w:sz="4" w:space="0" w:color="000000"/>
            </w:tcBorders>
            <w:vAlign w:val="center"/>
          </w:tcPr>
          <w:p>
            <w:r>
              <w:t>19.56</w:t>
            </w:r>
          </w:p>
        </w:tc>
      </w:tr>
      <w:tr w:rsidR="000B782D" w14:paraId="4C15F3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Босго 97.5%</w:t>
            </w:r>
          </w:p>
        </w:tc>
        <w:tc>
          <w:tcPr>
            <w:tcW w:w="2098" w:type="dxa"/>
            <w:tcBorders>
              <w:top w:val="single" w:sz="4" w:space="0" w:color="000000"/>
              <w:left w:val="single" w:sz="4" w:space="0" w:color="000000"/>
              <w:bottom w:val="single" w:sz="4" w:space="0" w:color="000000"/>
              <w:right w:val="single" w:sz="4" w:space="0" w:color="000000"/>
            </w:tcBorders>
            <w:vAlign w:val="center"/>
          </w:tcPr>
          <w:p>
            <w:r>
              <w:t>25.53</w:t>
            </w:r>
          </w:p>
        </w:tc>
        <w:tc>
          <w:tcPr>
            <w:tcW w:w="2098" w:type="dxa"/>
            <w:tcBorders>
              <w:top w:val="single" w:sz="4" w:space="0" w:color="000000"/>
              <w:left w:val="single" w:sz="4" w:space="0" w:color="000000"/>
              <w:bottom w:val="single" w:sz="4" w:space="0" w:color="000000"/>
              <w:right w:val="single" w:sz="4" w:space="0" w:color="000000"/>
            </w:tcBorders>
            <w:vAlign w:val="center"/>
          </w:tcPr>
          <w:p>
            <w:r>
              <w:t>Bootstrap p-утга</w:t>
            </w:r>
          </w:p>
        </w:tc>
        <w:tc>
          <w:tcPr>
            <w:tcW w:w="1701" w:type="dxa"/>
            <w:tcBorders>
              <w:top w:val="single" w:sz="4" w:space="0" w:color="000000"/>
              <w:left w:val="single" w:sz="4" w:space="0" w:color="000000"/>
              <w:bottom w:val="single" w:sz="4" w:space="0" w:color="000000"/>
              <w:right w:val="single" w:sz="4" w:space="0" w:color="000000"/>
            </w:tcBorders>
            <w:vAlign w:val="center"/>
          </w:tcPr>
          <w:p>
            <w:r>
              <w:t>0.0451</w:t>
            </w:r>
          </w:p>
        </w:tc>
      </w:tr>
      <w:tr w:rsidR="000B782D" w14:paraId="7DC4E5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Доод регим β CI</w:t>
            </w:r>
          </w:p>
        </w:tc>
        <w:tc>
          <w:tcPr>
            <w:tcW w:w="2098" w:type="dxa"/>
            <w:tcBorders>
              <w:top w:val="single" w:sz="4" w:space="0" w:color="000000"/>
              <w:left w:val="single" w:sz="4" w:space="0" w:color="000000"/>
              <w:bottom w:val="single" w:sz="4" w:space="0" w:color="000000"/>
              <w:right w:val="single" w:sz="4" w:space="0" w:color="000000"/>
            </w:tcBorders>
            <w:vAlign w:val="center"/>
          </w:tcPr>
          <w:p>
            <w:r>
              <w:t>[0.0558; 0.1173]</w:t>
            </w:r>
          </w:p>
        </w:tc>
        <w:tc>
          <w:tcPr>
            <w:tcW w:w="2098" w:type="dxa"/>
            <w:tcBorders>
              <w:top w:val="single" w:sz="4" w:space="0" w:color="000000"/>
              <w:left w:val="single" w:sz="4" w:space="0" w:color="000000"/>
              <w:bottom w:val="single" w:sz="4" w:space="0" w:color="000000"/>
              <w:right w:val="single" w:sz="4" w:space="0" w:color="000000"/>
            </w:tcBorders>
            <w:vAlign w:val="center"/>
          </w:tcPr>
          <w:p>
            <w:r>
              <w:t>Дээд регим β CI</w:t>
            </w:r>
          </w:p>
        </w:tc>
        <w:tc>
          <w:tcPr>
            <w:tcW w:w="1701" w:type="dxa"/>
            <w:tcBorders>
              <w:top w:val="single" w:sz="4" w:space="0" w:color="000000"/>
              <w:left w:val="single" w:sz="4" w:space="0" w:color="000000"/>
              <w:bottom w:val="single" w:sz="4" w:space="0" w:color="000000"/>
              <w:right w:val="single" w:sz="4" w:space="0" w:color="000000"/>
            </w:tcBorders>
            <w:vAlign w:val="center"/>
          </w:tcPr>
          <w:p>
            <w:r>
              <w:t>[0.0800; 0.1504]</w:t>
            </w:r>
          </w:p>
        </w:tc>
      </w:tr>
      <w:tr w:rsidR="000B782D" w14:paraId="3D37E48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β зөрүүний CI</w:t>
            </w:r>
          </w:p>
        </w:tc>
        <w:tc>
          <w:tcPr>
            <w:tcW w:w="2098" w:type="dxa"/>
            <w:tcBorders>
              <w:top w:val="single" w:sz="4" w:space="0" w:color="000000"/>
              <w:left w:val="single" w:sz="4" w:space="0" w:color="000000"/>
              <w:bottom w:val="single" w:sz="4" w:space="0" w:color="000000"/>
              <w:right w:val="single" w:sz="4" w:space="0" w:color="000000"/>
            </w:tcBorders>
            <w:vAlign w:val="center"/>
          </w:tcPr>
          <w:p>
            <w:r>
              <w:t>[0.0044; 0.0608]</w:t>
            </w:r>
          </w:p>
        </w:tc>
        <w:tc>
          <w:tcPr>
            <w:tcW w:w="2098" w:type="dxa"/>
            <w:tcBorders>
              <w:top w:val="single" w:sz="4" w:space="0" w:color="000000"/>
              <w:left w:val="single" w:sz="4" w:space="0" w:color="000000"/>
              <w:bottom w:val="single" w:sz="4" w:space="0" w:color="000000"/>
              <w:right w:val="single" w:sz="4" w:space="0" w:color="000000"/>
            </w:tcBorders>
            <w:vAlign w:val="center"/>
          </w:tcPr>
          <w:p>
            <w:r>
              <w:t>Тэгийг агуулсан эсэх</w:t>
            </w:r>
          </w:p>
        </w:tc>
        <w:tc>
          <w:tcPr>
            <w:tcW w:w="1701" w:type="dxa"/>
            <w:tcBorders>
              <w:top w:val="single" w:sz="4" w:space="0" w:color="000000"/>
              <w:left w:val="single" w:sz="4" w:space="0" w:color="000000"/>
              <w:bottom w:val="single" w:sz="4" w:space="0" w:color="000000"/>
              <w:right w:val="single" w:sz="4" w:space="0" w:color="000000"/>
            </w:tcBorders>
            <w:vAlign w:val="center"/>
          </w:tcPr>
          <w:p>
            <w:r>
              <w:t>Үгүй</w:t>
            </w:r>
          </w:p>
        </w:tc>
      </w:tr>
      <w:tr w:rsidR="000B782D" w14:paraId="79CBA51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Дүгнэлт</w:t>
            </w:r>
          </w:p>
        </w:tc>
        <w:tc>
          <w:tcPr>
            <w:tcW w:w="2098" w:type="dxa"/>
            <w:tcBorders>
              <w:top w:val="single" w:sz="4" w:space="0" w:color="000000"/>
              <w:left w:val="single" w:sz="4" w:space="0" w:color="000000"/>
              <w:bottom w:val="single" w:sz="4" w:space="0" w:color="000000"/>
              <w:right w:val="single" w:sz="4" w:space="0" w:color="000000"/>
            </w:tcBorders>
            <w:vAlign w:val="center"/>
          </w:tcPr>
          <w:p>
            <w:r>
              <w:t>Регимийн ялгаа дэмжигдсэн</w:t>
            </w:r>
          </w:p>
        </w:tc>
        <w:tc>
          <w:tcPr>
            <w:tcW w:w="2098" w:type="dxa"/>
            <w:tcBorders>
              <w:top w:val="single" w:sz="4" w:space="0" w:color="000000"/>
              <w:left w:val="single" w:sz="4" w:space="0" w:color="000000"/>
              <w:bottom w:val="single" w:sz="4" w:space="0" w:color="000000"/>
              <w:right w:val="single" w:sz="4" w:space="0" w:color="000000"/>
            </w:tcBorders>
            <w:vAlign w:val="center"/>
          </w:tcPr>
          <w:p>
            <w:r>
              <w:t>Анхаарах зүйл</w:t>
            </w:r>
          </w:p>
        </w:tc>
        <w:tc>
          <w:tcPr>
            <w:tcW w:w="1701" w:type="dxa"/>
            <w:tcBorders>
              <w:top w:val="single" w:sz="4" w:space="0" w:color="000000"/>
              <w:left w:val="single" w:sz="4" w:space="0" w:color="000000"/>
              <w:bottom w:val="single" w:sz="4" w:space="0" w:color="000000"/>
              <w:right w:val="single" w:sz="4" w:space="0" w:color="000000"/>
            </w:tcBorders>
            <w:vAlign w:val="center"/>
          </w:tcPr>
          <w:p>
            <w:r>
              <w:t>B=399 тул болгоомжтой тайлбарлана</w:t>
            </w:r>
          </w:p>
        </w:tc>
      </w:tr>
    </w:tbl>
    <w:p w14:paraId="14895267" w14:textId="77777777" w:rsidR="000B782D" w:rsidRDefault="0018275F">
      <w:pPr>
        <w:spacing w:before="60" w:after="240" w:line="276" w:lineRule="auto"/>
      </w:pPr>
      <w:r>
        <w:t>Хүснэгт 7  Загваруудын нэгдсэн үр дүн</w:t>
      </w:r>
    </w:p>
    <w:p w14:paraId="732AF462" w14:textId="77777777" w:rsidR="000B782D" w:rsidRDefault="0018275F">
      <w:pPr>
        <w:ind w:firstLine="567"/>
      </w:pPr>
      <w:r>
        <w:t>Эх сурвалж: Оюутны тооцоолол</w:t>
      </w:r>
    </w:p>
    <w:p w14:paraId="51EE51EE" w14:textId="77777777" w:rsidR="000B782D" w:rsidRDefault="0018275F">
      <w:pPr>
        <w:ind w:firstLine="567"/>
      </w:pPr>
      <w:r>
        <w:t>Хүснэгт 7-оос харахад боловсролын өгөөж ЭХБК үнэлгээгээр 4.8 хувь, ХШХБК үнэлгээгээр 10.9 хувь байна. ХХБР үнэлгээ боловсролын өгөөжийг нэг дундаж налуугаар тайлбарлахын оронд сургуулийн орчны босгоор хоёр регимд хувааж, доод регимд 8.2 хувь, дээд регимд 11.6 хувь гэж ялган харууллаа. Иймээс энэ судалгааны гол дүгнэлт нь боловсролын өгөөж эерэг бөгөөд статистикийн хувьд ач холбогдолтой төдийгүй, 17–18 насны сурагч-багшийн харьцаагаар илэрхийлэгдэх сургуулийн орчны регимүүдийн хооронд ялгаатай байна гэсэн үр дүн юм.</w:t>
      </w:r>
    </w:p>
    <w:p w14:paraId="3EC9FAE4" w14:textId="77777777" w:rsidR="00972FBE" w:rsidRDefault="00D33DC4">
      <w:pPr>
        <w:pStyle w:val="Heading2"/>
      </w:pPr>
      <w:r>
        <w:t>Энэхүү үр дүн нь бодлогын хувьд хоёр санаа өгнө. Нэгдүгээрт, боловсролын нэг жилийн өгөөжийг ЭХБК-ийн суурь холбоогоор хэмжихэд доогуур үнэлэгдэх эрсдэлтэй. Хоёрдугаарт, боловсролын өгөөж нь зөвхөн хувь хүний боловсролын жилээр бус, тухайн боловсрол хуримтлагдсан сургуулийн орчны ялгаагаар өөрчлөгдөх боломжтой. Гэхдээ босго хувьсагч нь хувь хүний түвшний санамсаргүй туршилт биш тул үр дүнг сургуулийн орчны шууд шалтгаант нөлөө гэж бус, боловсролын өгөөжийн ялгаатай регимийн нотолгоо гэж тайлбарлах нь зүйтэй.</w:t>
      </w:r>
    </w:p>
    <w:p w14:paraId="65AAD817" w14:textId="77777777" w:rsidR="00972FBE" w:rsidRDefault="00D33DC4">
      <w:pPr/>
      <w:r>
        <w:t>Хүснэгт 8  Эцсийн түүврийн оношилгоо</w:t>
      </w:r>
    </w:p>
    <w:p w14:paraId="6630CD55" w14:textId="77777777" w:rsidR="00972FBE" w:rsidRDefault="00D33DC4">
      <w:pPr/>
      <w:r>
        <w:t>Эх сурвалж: Оюутны тооцоолол</w:t>
      </w:r>
    </w:p>
    <w:p w14:paraId="7942340E" w14:textId="77777777" w:rsidR="00972FBE" w:rsidRDefault="00D33DC4">
      <w:pPr/>
      <w:r>
        <w:t>Эцсийн түүвэр нь 22 төрсөн аймаг, 4 төрсөн үеийн бүлэг, 4 судалгааны давалгааг хамарсан. Босго хувьсагчийн боловсролын жилтэй корреляци −0.049, эцэг, эхийн боловсролын дундажтай корреляци 0.006, логаритмчилсан цалинтай корреляци 0.023 байгаа нь уг хувьсагч үндсэн тайлбарлагч, хэрэгсэл хувьсагч, үр дүнгийн хувьсагчтай механикаар давхцаагүйг дэмжинэ.</w:t>
      </w:r>
    </w:p>
    <w:p w14:paraId="7BD3F8CA" w14:textId="77777777" w:rsidR="000B782D" w:rsidRDefault="0018275F">
      <w:pPr>
        <w:pStyle w:val="Heading2"/>
        <w:spacing w:after="120"/>
      </w:pPr>
      <w:r>
        <w:t>Хүснэгт 9  Босгоны мэдрэмж ба тайлбарын хүрээ</w:t>
      </w:r>
    </w:p>
    <w:p w14:paraId="0DFC5964" w14:textId="77777777" w:rsidR="000B782D" w:rsidRDefault="0018275F">
      <w:pPr>
        <w:spacing w:before="240" w:after="60" w:line="276" w:lineRule="auto"/>
      </w:pPr>
      <w:r>
        <w:t>Эх сурвалж: Оюутны тооцоолол</w:t>
      </w:r>
    </w:p>
    <w:tbl>
      <w:tblPr>
        <w:tblW w:w="0" w:type="auto"/>
        <w:jc w:val="center"/>
        <w:tblLayout w:type="fixed"/>
        <w:tblLook w:val="04A0" w:firstRow="1" w:lastRow="0" w:firstColumn="1" w:lastColumn="0" w:noHBand="0" w:noVBand="1"/>
      </w:tblPr>
      <w:tblGrid>
        <w:gridCol w:w="3685"/>
        <w:gridCol w:w="1814"/>
        <w:gridCol w:w="1984"/>
        <w:gridCol w:w="1587"/>
      </w:tblGrid>
      <w:tr w:rsidR="000B782D" w14:paraId="06EEF57C"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r>
              <w:t>N</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r>
              <w:t>β</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r>
              <w:t>Өгөөж (%)</w:t>
            </w:r>
          </w:p>
        </w:tc>
      </w:tr>
      <w:tr w:rsidR="000B782D" w14:paraId="01AB637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ЭХБК</w:t>
            </w:r>
          </w:p>
        </w:tc>
        <w:tc>
          <w:tcPr>
            <w:tcW w:w="1814" w:type="dxa"/>
            <w:tcBorders>
              <w:top w:val="single" w:sz="4" w:space="0" w:color="000000"/>
              <w:left w:val="single" w:sz="4" w:space="0" w:color="000000"/>
              <w:bottom w:val="single" w:sz="4" w:space="0" w:color="000000"/>
              <w:right w:val="single" w:sz="4" w:space="0" w:color="000000"/>
            </w:tcBorders>
            <w:vAlign w:val="center"/>
          </w:tcPr>
          <w:p>
            <w:r>
              <w:t>3,188</w:t>
            </w:r>
          </w:p>
        </w:tc>
        <w:tc>
          <w:tcPr>
            <w:tcW w:w="1984" w:type="dxa"/>
            <w:tcBorders>
              <w:top w:val="single" w:sz="4" w:space="0" w:color="000000"/>
              <w:left w:val="single" w:sz="4" w:space="0" w:color="000000"/>
              <w:bottom w:val="single" w:sz="4" w:space="0" w:color="000000"/>
              <w:right w:val="single" w:sz="4" w:space="0" w:color="000000"/>
            </w:tcBorders>
            <w:vAlign w:val="center"/>
          </w:tcPr>
          <w:p>
            <w:r>
              <w:t>0.0472</w:t>
            </w:r>
          </w:p>
        </w:tc>
        <w:tc>
          <w:tcPr>
            <w:tcW w:w="1587" w:type="dxa"/>
            <w:tcBorders>
              <w:top w:val="single" w:sz="4" w:space="0" w:color="000000"/>
              <w:left w:val="single" w:sz="4" w:space="0" w:color="000000"/>
              <w:bottom w:val="single" w:sz="4" w:space="0" w:color="000000"/>
              <w:right w:val="single" w:sz="4" w:space="0" w:color="000000"/>
            </w:tcBorders>
            <w:vAlign w:val="center"/>
          </w:tcPr>
          <w:p>
            <w:r>
              <w:t>4.8</w:t>
            </w:r>
          </w:p>
        </w:tc>
      </w:tr>
      <w:tr w:rsidR="000B782D" w14:paraId="6B15D62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ХШХБК</w:t>
            </w:r>
          </w:p>
        </w:tc>
        <w:tc>
          <w:tcPr>
            <w:tcW w:w="1814" w:type="dxa"/>
            <w:tcBorders>
              <w:top w:val="single" w:sz="4" w:space="0" w:color="000000"/>
              <w:left w:val="single" w:sz="4" w:space="0" w:color="000000"/>
              <w:bottom w:val="single" w:sz="4" w:space="0" w:color="000000"/>
              <w:right w:val="single" w:sz="4" w:space="0" w:color="000000"/>
            </w:tcBorders>
            <w:vAlign w:val="center"/>
          </w:tcPr>
          <w:p>
            <w:r>
              <w:t>3,188</w:t>
            </w:r>
          </w:p>
        </w:tc>
        <w:tc>
          <w:tcPr>
            <w:tcW w:w="1984" w:type="dxa"/>
            <w:tcBorders>
              <w:top w:val="single" w:sz="4" w:space="0" w:color="000000"/>
              <w:left w:val="single" w:sz="4" w:space="0" w:color="000000"/>
              <w:bottom w:val="single" w:sz="4" w:space="0" w:color="000000"/>
              <w:right w:val="single" w:sz="4" w:space="0" w:color="000000"/>
            </w:tcBorders>
            <w:vAlign w:val="center"/>
          </w:tcPr>
          <w:p>
            <w:r>
              <w:t>0.1033</w:t>
            </w:r>
          </w:p>
        </w:tc>
        <w:tc>
          <w:tcPr>
            <w:tcW w:w="1587" w:type="dxa"/>
            <w:tcBorders>
              <w:top w:val="single" w:sz="4" w:space="0" w:color="000000"/>
              <w:left w:val="single" w:sz="4" w:space="0" w:color="000000"/>
              <w:bottom w:val="single" w:sz="4" w:space="0" w:color="000000"/>
              <w:right w:val="single" w:sz="4" w:space="0" w:color="000000"/>
            </w:tcBorders>
            <w:vAlign w:val="center"/>
          </w:tcPr>
          <w:p>
            <w:r>
              <w:t>10.9</w:t>
            </w:r>
          </w:p>
        </w:tc>
      </w:tr>
      <w:tr w:rsidR="000B782D" w14:paraId="71BA2C6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ХХБР доод регим</w:t>
            </w:r>
          </w:p>
        </w:tc>
        <w:tc>
          <w:tcPr>
            <w:tcW w:w="1814" w:type="dxa"/>
            <w:tcBorders>
              <w:top w:val="single" w:sz="4" w:space="0" w:color="000000"/>
              <w:left w:val="single" w:sz="4" w:space="0" w:color="000000"/>
              <w:bottom w:val="single" w:sz="4" w:space="0" w:color="000000"/>
              <w:right w:val="single" w:sz="4" w:space="0" w:color="000000"/>
            </w:tcBorders>
            <w:vAlign w:val="center"/>
          </w:tcPr>
          <w:p>
            <w:r>
              <w:t>1,051</w:t>
            </w:r>
          </w:p>
        </w:tc>
        <w:tc>
          <w:tcPr>
            <w:tcW w:w="1984" w:type="dxa"/>
            <w:tcBorders>
              <w:top w:val="single" w:sz="4" w:space="0" w:color="000000"/>
              <w:left w:val="single" w:sz="4" w:space="0" w:color="000000"/>
              <w:bottom w:val="single" w:sz="4" w:space="0" w:color="000000"/>
              <w:right w:val="single" w:sz="4" w:space="0" w:color="000000"/>
            </w:tcBorders>
            <w:vAlign w:val="center"/>
          </w:tcPr>
          <w:p>
            <w:r>
              <w:t>0.0784</w:t>
            </w:r>
          </w:p>
        </w:tc>
        <w:tc>
          <w:tcPr>
            <w:tcW w:w="1587" w:type="dxa"/>
            <w:tcBorders>
              <w:top w:val="single" w:sz="4" w:space="0" w:color="000000"/>
              <w:left w:val="single" w:sz="4" w:space="0" w:color="000000"/>
              <w:bottom w:val="single" w:sz="4" w:space="0" w:color="000000"/>
              <w:right w:val="single" w:sz="4" w:space="0" w:color="000000"/>
            </w:tcBorders>
            <w:vAlign w:val="center"/>
          </w:tcPr>
          <w:p>
            <w:r>
              <w:t>8.2</w:t>
            </w:r>
          </w:p>
        </w:tc>
      </w:tr>
      <w:tr w:rsidR="000B782D" w14:paraId="5D624A1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ХХБР дээд регим</w:t>
            </w:r>
          </w:p>
        </w:tc>
        <w:tc>
          <w:tcPr>
            <w:tcW w:w="1814" w:type="dxa"/>
            <w:tcBorders>
              <w:top w:val="single" w:sz="4" w:space="0" w:color="000000"/>
              <w:left w:val="single" w:sz="4" w:space="0" w:color="000000"/>
              <w:bottom w:val="single" w:sz="4" w:space="0" w:color="000000"/>
              <w:right w:val="single" w:sz="4" w:space="0" w:color="000000"/>
            </w:tcBorders>
            <w:vAlign w:val="center"/>
          </w:tcPr>
          <w:p>
            <w:r>
              <w:t>2,137</w:t>
            </w:r>
          </w:p>
        </w:tc>
        <w:tc>
          <w:tcPr>
            <w:tcW w:w="1984" w:type="dxa"/>
            <w:tcBorders>
              <w:top w:val="single" w:sz="4" w:space="0" w:color="000000"/>
              <w:left w:val="single" w:sz="4" w:space="0" w:color="000000"/>
              <w:bottom w:val="single" w:sz="4" w:space="0" w:color="000000"/>
              <w:right w:val="single" w:sz="4" w:space="0" w:color="000000"/>
            </w:tcBorders>
            <w:vAlign w:val="center"/>
          </w:tcPr>
          <w:p>
            <w:r>
              <w:t>0.1094</w:t>
            </w:r>
          </w:p>
        </w:tc>
        <w:tc>
          <w:tcPr>
            <w:tcW w:w="1587" w:type="dxa"/>
            <w:tcBorders>
              <w:top w:val="single" w:sz="4" w:space="0" w:color="000000"/>
              <w:left w:val="single" w:sz="4" w:space="0" w:color="000000"/>
              <w:bottom w:val="single" w:sz="4" w:space="0" w:color="000000"/>
              <w:right w:val="single" w:sz="4" w:space="0" w:color="000000"/>
            </w:tcBorders>
            <w:vAlign w:val="center"/>
          </w:tcPr>
          <w:p>
            <w:r>
              <w:t>11.6</w:t>
            </w:r>
          </w:p>
        </w:tc>
      </w:tr>
      <w:tr w:rsidR="000B782D" w14:paraId="61161DC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Регимийн зөрүү</w:t>
            </w:r>
          </w:p>
        </w:tc>
        <w:tc>
          <w:tcPr>
            <w:tcW w:w="1814" w:type="dxa"/>
            <w:tcBorders>
              <w:top w:val="single" w:sz="4" w:space="0" w:color="000000"/>
              <w:left w:val="single" w:sz="4" w:space="0" w:color="000000"/>
              <w:bottom w:val="single" w:sz="4" w:space="0" w:color="000000"/>
              <w:right w:val="single" w:sz="4" w:space="0" w:color="000000"/>
            </w:tcBorders>
            <w:vAlign w:val="center"/>
          </w:tcPr>
          <w:p>
            <w:r>
              <w:t>3,188</w:t>
            </w:r>
          </w:p>
        </w:tc>
        <w:tc>
          <w:tcPr>
            <w:tcW w:w="1984" w:type="dxa"/>
            <w:tcBorders>
              <w:top w:val="single" w:sz="4" w:space="0" w:color="000000"/>
              <w:left w:val="single" w:sz="4" w:space="0" w:color="000000"/>
              <w:bottom w:val="single" w:sz="4" w:space="0" w:color="000000"/>
              <w:right w:val="single" w:sz="4" w:space="0" w:color="000000"/>
            </w:tcBorders>
            <w:vAlign w:val="center"/>
          </w:tcPr>
          <w:p>
            <w:r>
              <w:t>0.0310</w:t>
            </w:r>
          </w:p>
        </w:tc>
        <w:tc>
          <w:tcPr>
            <w:tcW w:w="1587" w:type="dxa"/>
            <w:tcBorders>
              <w:top w:val="single" w:sz="4" w:space="0" w:color="000000"/>
              <w:left w:val="single" w:sz="4" w:space="0" w:color="000000"/>
              <w:bottom w:val="single" w:sz="4" w:space="0" w:color="000000"/>
              <w:right w:val="single" w:sz="4" w:space="0" w:color="000000"/>
            </w:tcBorders>
            <w:vAlign w:val="center"/>
          </w:tcPr>
          <w:p>
            <w:r>
              <w:t>3.1 нэгж хувь</w:t>
            </w:r>
          </w:p>
        </w:tc>
      </w:tr>
      <w:tr w:rsidR="000B782D" w14:paraId="6BA2788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Эхний шатны F</w:t>
            </w:r>
          </w:p>
        </w:tc>
        <w:tc>
          <w:tcPr>
            <w:tcW w:w="1814" w:type="dxa"/>
            <w:tcBorders>
              <w:top w:val="single" w:sz="4" w:space="0" w:color="000000"/>
              <w:left w:val="single" w:sz="4" w:space="0" w:color="000000"/>
              <w:bottom w:val="single" w:sz="4" w:space="0" w:color="000000"/>
              <w:right w:val="single" w:sz="4" w:space="0" w:color="000000"/>
            </w:tcBorders>
            <w:vAlign w:val="center"/>
          </w:tcPr>
          <w:p>
            <w:r>
              <w:t>3,188</w:t>
            </w:r>
          </w:p>
        </w:tc>
        <w:tc>
          <w:tcPr>
            <w:tcW w:w="1984" w:type="dxa"/>
            <w:tcBorders>
              <w:top w:val="single" w:sz="4" w:space="0" w:color="000000"/>
              <w:left w:val="single" w:sz="4" w:space="0" w:color="000000"/>
              <w:bottom w:val="single" w:sz="4" w:space="0" w:color="000000"/>
              <w:right w:val="single" w:sz="4" w:space="0" w:color="000000"/>
            </w:tcBorders>
            <w:vAlign w:val="center"/>
          </w:tcPr>
          <w:p>
            <w:r>
              <w:t>558.45</w:t>
            </w:r>
          </w:p>
        </w:tc>
        <w:tc>
          <w:tcPr>
            <w:tcW w:w="1587" w:type="dxa"/>
            <w:tcBorders>
              <w:top w:val="single" w:sz="4" w:space="0" w:color="000000"/>
              <w:left w:val="single" w:sz="4" w:space="0" w:color="000000"/>
              <w:bottom w:val="single" w:sz="4" w:space="0" w:color="000000"/>
              <w:right w:val="single" w:sz="4" w:space="0" w:color="000000"/>
            </w:tcBorders>
            <w:vAlign w:val="center"/>
          </w:tcPr>
          <w:p>
            <w:r>
              <w:t>Сул IV биш</w:t>
            </w:r>
          </w:p>
        </w:tc>
      </w:tr>
      <w:tr w:rsidR="000B782D" w14:paraId="02637E1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Босго γ</w:t>
            </w:r>
          </w:p>
        </w:tc>
        <w:tc>
          <w:tcPr>
            <w:tcW w:w="1814" w:type="dxa"/>
            <w:tcBorders>
              <w:top w:val="single" w:sz="4" w:space="0" w:color="000000"/>
              <w:left w:val="single" w:sz="4" w:space="0" w:color="000000"/>
              <w:bottom w:val="single" w:sz="4" w:space="0" w:color="000000"/>
              <w:right w:val="single" w:sz="4" w:space="0" w:color="000000"/>
            </w:tcBorders>
            <w:vAlign w:val="center"/>
          </w:tcPr>
          <w:p>
            <w:r>
              <w:t>3,188</w:t>
            </w:r>
          </w:p>
        </w:tc>
        <w:tc>
          <w:tcPr>
            <w:tcW w:w="1984" w:type="dxa"/>
            <w:tcBorders>
              <w:top w:val="single" w:sz="4" w:space="0" w:color="000000"/>
              <w:left w:val="single" w:sz="4" w:space="0" w:color="000000"/>
              <w:bottom w:val="single" w:sz="4" w:space="0" w:color="000000"/>
              <w:right w:val="single" w:sz="4" w:space="0" w:color="000000"/>
            </w:tcBorders>
            <w:vAlign w:val="center"/>
          </w:tcPr>
          <w:p>
            <w:r>
              <w:t>19.53</w:t>
            </w:r>
          </w:p>
        </w:tc>
        <w:tc>
          <w:tcPr>
            <w:tcW w:w="1587" w:type="dxa"/>
            <w:tcBorders>
              <w:top w:val="single" w:sz="4" w:space="0" w:color="000000"/>
              <w:left w:val="single" w:sz="4" w:space="0" w:color="000000"/>
              <w:bottom w:val="single" w:sz="4" w:space="0" w:color="000000"/>
              <w:right w:val="single" w:sz="4" w:space="0" w:color="000000"/>
            </w:tcBorders>
            <w:vAlign w:val="center"/>
          </w:tcPr>
          <w:p>
            <w:r>
              <w:t>Сурагч/багш</w:t>
            </w:r>
          </w:p>
        </w:tc>
      </w:tr>
      <w:tr w:rsidR="000B782D" w14:paraId="3654BBD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Bootstrap p</w:t>
            </w:r>
          </w:p>
        </w:tc>
        <w:tc>
          <w:tcPr>
            <w:tcW w:w="1814" w:type="dxa"/>
            <w:tcBorders>
              <w:top w:val="single" w:sz="4" w:space="0" w:color="000000"/>
              <w:left w:val="single" w:sz="4" w:space="0" w:color="000000"/>
              <w:bottom w:val="single" w:sz="4" w:space="0" w:color="000000"/>
              <w:right w:val="single" w:sz="4" w:space="0" w:color="000000"/>
            </w:tcBorders>
            <w:vAlign w:val="center"/>
          </w:tcPr>
          <w:p>
            <w:r>
              <w:t>399 давталт</w:t>
            </w:r>
          </w:p>
        </w:tc>
        <w:tc>
          <w:tcPr>
            <w:tcW w:w="1984" w:type="dxa"/>
            <w:tcBorders>
              <w:top w:val="single" w:sz="4" w:space="0" w:color="000000"/>
              <w:left w:val="single" w:sz="4" w:space="0" w:color="000000"/>
              <w:bottom w:val="single" w:sz="4" w:space="0" w:color="000000"/>
              <w:right w:val="single" w:sz="4" w:space="0" w:color="000000"/>
            </w:tcBorders>
            <w:vAlign w:val="center"/>
          </w:tcPr>
          <w:p>
            <w:r>
              <w:t>0.0451</w:t>
            </w:r>
          </w:p>
        </w:tc>
        <w:tc>
          <w:tcPr>
            <w:tcW w:w="1587" w:type="dxa"/>
            <w:tcBorders>
              <w:top w:val="single" w:sz="4" w:space="0" w:color="000000"/>
              <w:left w:val="single" w:sz="4" w:space="0" w:color="000000"/>
              <w:bottom w:val="single" w:sz="4" w:space="0" w:color="000000"/>
              <w:right w:val="single" w:sz="4" w:space="0" w:color="000000"/>
            </w:tcBorders>
            <w:vAlign w:val="center"/>
          </w:tcPr>
          <w:p>
            <w:r>
              <w:t>5%-ийн түвшинд</w:t>
            </w:r>
          </w:p>
        </w:tc>
      </w:tr>
      <w:tr w:rsidR="000B782D" w14:paraId="35A39DB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Гол тайлбар</w:t>
            </w:r>
          </w:p>
        </w:tc>
        <w:tc>
          <w:tcPr>
            <w:tcW w:w="1814" w:type="dxa"/>
            <w:tcBorders>
              <w:top w:val="single" w:sz="4" w:space="0" w:color="000000"/>
              <w:left w:val="single" w:sz="4" w:space="0" w:color="000000"/>
              <w:bottom w:val="single" w:sz="4" w:space="0" w:color="000000"/>
              <w:right w:val="single" w:sz="4" w:space="0" w:color="000000"/>
            </w:tcBorders>
            <w:vAlign w:val="center"/>
          </w:tcPr>
          <w:p>
            <w:r>
              <w:t>—</w:t>
            </w:r>
          </w:p>
        </w:tc>
        <w:tc>
          <w:tcPr>
            <w:tcW w:w="1984" w:type="dxa"/>
            <w:tcBorders>
              <w:top w:val="single" w:sz="4" w:space="0" w:color="000000"/>
              <w:left w:val="single" w:sz="4" w:space="0" w:color="000000"/>
              <w:bottom w:val="single" w:sz="4" w:space="0" w:color="000000"/>
              <w:right w:val="single" w:sz="4" w:space="0" w:color="000000"/>
            </w:tcBorders>
            <w:vAlign w:val="center"/>
          </w:tcPr>
          <w:p>
            <w:r>
              <w:t>—</w:t>
            </w:r>
          </w:p>
        </w:tc>
        <w:tc>
          <w:tcPr>
            <w:tcW w:w="1587" w:type="dxa"/>
            <w:tcBorders>
              <w:top w:val="single" w:sz="4" w:space="0" w:color="000000"/>
              <w:left w:val="single" w:sz="4" w:space="0" w:color="000000"/>
              <w:bottom w:val="single" w:sz="4" w:space="0" w:color="000000"/>
              <w:right w:val="single" w:sz="4" w:space="0" w:color="000000"/>
            </w:tcBorders>
            <w:vAlign w:val="center"/>
          </w:tcPr>
          <w:p>
            <w:r>
              <w:t>Сургуулийн орчны регимийн ялгаа</w:t>
            </w:r>
          </w:p>
        </w:tc>
      </w:tr>
      <w:tr w:rsidR="000B782D" w14:paraId="502A72D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Анхаарах зүйл</w:t>
            </w:r>
          </w:p>
        </w:tc>
        <w:tc>
          <w:tcPr>
            <w:tcW w:w="1814" w:type="dxa"/>
            <w:tcBorders>
              <w:top w:val="single" w:sz="4" w:space="0" w:color="000000"/>
              <w:left w:val="single" w:sz="4" w:space="0" w:color="000000"/>
              <w:bottom w:val="single" w:sz="4" w:space="0" w:color="000000"/>
              <w:right w:val="single" w:sz="4" w:space="0" w:color="000000"/>
            </w:tcBorders>
            <w:vAlign w:val="center"/>
          </w:tcPr>
          <w:p>
            <w:r>
              <w:t>—</w:t>
            </w:r>
          </w:p>
        </w:tc>
        <w:tc>
          <w:tcPr>
            <w:tcW w:w="1984" w:type="dxa"/>
            <w:tcBorders>
              <w:top w:val="single" w:sz="4" w:space="0" w:color="000000"/>
              <w:left w:val="single" w:sz="4" w:space="0" w:color="000000"/>
              <w:bottom w:val="single" w:sz="4" w:space="0" w:color="000000"/>
              <w:right w:val="single" w:sz="4" w:space="0" w:color="000000"/>
            </w:tcBorders>
            <w:vAlign w:val="center"/>
          </w:tcPr>
          <w:p>
            <w:r>
              <w:t>—</w:t>
            </w:r>
          </w:p>
        </w:tc>
        <w:tc>
          <w:tcPr>
            <w:tcW w:w="1587" w:type="dxa"/>
            <w:tcBorders>
              <w:top w:val="single" w:sz="4" w:space="0" w:color="000000"/>
              <w:left w:val="single" w:sz="4" w:space="0" w:color="000000"/>
              <w:bottom w:val="single" w:sz="4" w:space="0" w:color="000000"/>
              <w:right w:val="single" w:sz="4" w:space="0" w:color="000000"/>
            </w:tcBorders>
            <w:vAlign w:val="center"/>
          </w:tcPr>
          <w:p>
            <w:r>
              <w:t>Шууд шалтгаан гэж тайлбарлахгүй</w:t>
            </w:r>
          </w:p>
        </w:tc>
      </w:tr>
    </w:tbl>
    <w:p w14:paraId="0784DC62" w14:textId="77777777" w:rsidR="000B782D" w:rsidRDefault="0018275F">
      <w:pPr>
        <w:spacing w:before="60" w:after="240" w:line="276" w:lineRule="auto"/>
      </w:pPr>
      <w:r>
        <w:t>Нэгтгэн дүгнэвэл, энэ бүлгийн үр дүн нь боловсролын өгөөжийг Монгол Улсад нэг шугаман дундаж тоогоор тайлбарлах нь хангалтгүй болохыг харуулж байна. Эцэг, эхийн боловсролд суурилсан хэрэгсэл хувьсагч боловсролын эндоген сонголтыг засахад өгөөжийн хэмжээ өсөж, харин ХХБР арга нь уг өгөөж сургуулийн орчны босгоор ялгаатай болохыг илрүүлж байна.</w:t>
      </w:r>
    </w:p>
    <w:p w14:paraId="0F073E26" w14:textId="0BE634D0" w:rsidR="00371247" w:rsidRDefault="0018275F">
      <w:pPr>
        <w:ind w:firstLine="567"/>
      </w:pPr>
      <w:r/>
    </w:p>
    <w:p w14:paraId="1984C909" w14:textId="77777777" w:rsidR="000B782D" w:rsidRDefault="000B782D">
      <w:pPr>
        <w:ind w:firstLine="567"/>
      </w:pPr>
      <w:r/>
    </w:p>
    <w:p w14:paraId="23E7E12B" w14:textId="77777777" w:rsidR="000B782D" w:rsidRDefault="0018275F">
      <w:pPr>
        <w:pStyle w:val="Heading1"/>
        <w:spacing w:after="240"/>
      </w:pPr>
      <w:bookmarkStart w:id="83" w:name="_Toc227332441"/>
      <w:bookmarkStart w:id="84" w:name="_Toc227690671"/>
      <w:bookmarkStart w:id="85" w:name="_Toc227690818"/>
      <w:r>
        <w:rPr>
          <w:sz w:val="28"/>
        </w:rPr>
        <w:t>V БҮЛЭГ. ДҮГНЭЛТ БА БОДЛОГЫН САНАЛ</w:t>
      </w:r>
      <w:bookmarkEnd w:id="83"/>
      <w:bookmarkEnd w:id="84"/>
      <w:bookmarkEnd w:id="85"/>
    </w:p>
    <w:p w14:paraId="11B5EC4A" w14:textId="77777777" w:rsidR="000B782D" w:rsidRDefault="0018275F">
      <w:pPr>
        <w:pStyle w:val="Heading2"/>
        <w:spacing w:after="120"/>
      </w:pPr>
      <w:bookmarkStart w:id="86" w:name="_Toc227690672"/>
      <w:bookmarkStart w:id="87" w:name="_Toc227690819"/>
      <w:r>
        <w:t>5.1. Үндсэн дүгнэлт</w:t>
      </w:r>
      <w:bookmarkEnd w:id="86"/>
      <w:bookmarkEnd w:id="87"/>
    </w:p>
    <w:p w14:paraId="0B36992B"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489EC8A2"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0E83C9AB"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70DC5E4A" w14:textId="16211DF6" w:rsidR="000B782D" w:rsidRDefault="0018275F">
      <w:pPr>
        <w:ind w:firstLine="567"/>
        <w:jc w:val="both"/>
      </w:pPr>
      <w:r>
        <w:t xml:space="preserve">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w:t>
      </w:r>
      <w:proofErr w:type="spellStart"/>
      <w:r>
        <w:t>шинэ</w:t>
      </w:r>
      <w:proofErr w:type="spellEnd"/>
      <w:r>
        <w:t xml:space="preserve"> </w:t>
      </w:r>
      <w:proofErr w:type="spellStart"/>
      <w:r>
        <w:t>боломж</w:t>
      </w:r>
      <w:proofErr w:type="spellEnd"/>
      <w:r>
        <w:t xml:space="preserve"> </w:t>
      </w:r>
      <w:proofErr w:type="spellStart"/>
      <w:r>
        <w:t>нээж</w:t>
      </w:r>
      <w:proofErr w:type="spellEnd"/>
      <w:r>
        <w:t xml:space="preserve"> </w:t>
      </w:r>
      <w:proofErr w:type="spellStart"/>
      <w:r>
        <w:t>өгнө</w:t>
      </w:r>
      <w:proofErr w:type="spellEnd"/>
      <w:r>
        <w:t>.</w:t>
      </w:r>
    </w:p>
    <w:p w14:paraId="0F8728FB" w14:textId="3740C5C7" w:rsidR="00371247" w:rsidRDefault="00371247">
      <w:pPr>
        <w:ind w:firstLine="567"/>
        <w:jc w:val="both"/>
      </w:pPr>
    </w:p>
    <w:p w14:paraId="4AF04094" w14:textId="77777777" w:rsidR="00371247" w:rsidRDefault="00371247">
      <w:pPr>
        <w:ind w:firstLine="567"/>
        <w:jc w:val="both"/>
      </w:pPr>
    </w:p>
    <w:p w14:paraId="511A2D6D" w14:textId="77777777" w:rsidR="000B782D" w:rsidRDefault="0018275F">
      <w:pPr>
        <w:pStyle w:val="Heading2"/>
        <w:spacing w:after="120"/>
      </w:pPr>
      <w:bookmarkStart w:id="88" w:name="_Toc227690673"/>
      <w:bookmarkStart w:id="89" w:name="_Toc227690820"/>
      <w:r>
        <w:lastRenderedPageBreak/>
        <w:t>5.2. Бодлогын санал</w:t>
      </w:r>
      <w:bookmarkEnd w:id="88"/>
      <w:bookmarkEnd w:id="89"/>
    </w:p>
    <w:p w14:paraId="744D81D7" w14:textId="77777777" w:rsidR="000B782D" w:rsidRDefault="0018275F">
      <w:pPr>
        <w:ind w:firstLine="567"/>
        <w:jc w:val="both"/>
      </w:pPr>
      <w:r>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5C7B0DBD" w14:textId="77777777" w:rsidR="000B782D" w:rsidRPr="00371247" w:rsidRDefault="0018275F">
      <w:pPr>
        <w:ind w:firstLine="567"/>
        <w:jc w:val="both"/>
        <w:rPr>
          <w:bCs/>
        </w:rPr>
      </w:pPr>
      <w:r w:rsidRPr="00371247">
        <w:rPr>
          <w:bCs/>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77CAF694" w14:textId="77777777" w:rsidR="000B782D" w:rsidRPr="00371247" w:rsidRDefault="0018275F">
      <w:pPr>
        <w:ind w:firstLine="567"/>
        <w:jc w:val="both"/>
        <w:rPr>
          <w:bCs/>
        </w:rPr>
      </w:pPr>
      <w:r w:rsidRPr="00371247">
        <w:rPr>
          <w:bCs/>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406293B0" w14:textId="77777777" w:rsidR="000B782D" w:rsidRPr="00371247" w:rsidRDefault="0018275F">
      <w:pPr>
        <w:ind w:firstLine="567"/>
        <w:jc w:val="both"/>
        <w:rPr>
          <w:bCs/>
        </w:rPr>
      </w:pPr>
      <w:r w:rsidRPr="00371247">
        <w:rPr>
          <w:bCs/>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20C88D99" w14:textId="77777777" w:rsidR="00972FBE" w:rsidRDefault="00D33DC4">
      <w:pPr>
        <w:pStyle w:val="Heading2"/>
      </w:pPr>
      <w:bookmarkStart w:id="90" w:name="_Toc227690674"/>
      <w:bookmarkStart w:id="91" w:name="_Toc227690821"/>
      <w:r>
        <w:t>5.3. Судалгааны хязгаарлалт, цаашдын судалгааны чиглэл</w:t>
      </w:r>
      <w:bookmarkEnd w:id="90"/>
      <w:bookmarkEnd w:id="91"/>
    </w:p>
    <w:p w14:paraId="48ECE512" w14:textId="77777777" w:rsidR="00972FBE" w:rsidRDefault="00D33DC4">
      <w:r>
        <w:lastRenderedPageBreak/>
        <w:t>Энэхүү судалгаа нь хэд хэдэн хязгаарлалттай болохыг ил тод хүлээн зөвшөөрөх нь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431CD01C" w14:textId="77777777" w:rsidR="00972FBE" w:rsidRDefault="00D33DC4">
      <w:r>
        <w:t>Хоёрдугаарт, 2016, 2018 оны ӨНЭЗС-ийн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зөрүүг бүрэн барих боломжгүй юм.</w:t>
      </w:r>
    </w:p>
    <w:p w14:paraId="4368A394" w14:textId="77777777" w:rsidR="00972FBE" w:rsidRDefault="00D33DC4">
      <w:r>
        <w:t>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бодлогыг эмпирик нотолгоонд тулгуурласан илүү нарийвчилсан түвшинд хүргэх суурь болох юм.</w:t>
      </w:r>
    </w:p>
    <w:p w14:paraId="205843B4"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752A092F" w14:textId="77777777" w:rsidR="000B782D" w:rsidRDefault="0018275F">
      <w:r>
        <w:br w:type="page"/>
      </w:r>
    </w:p>
    <w:p w14:paraId="68AF4423" w14:textId="77777777" w:rsidR="000B782D" w:rsidRDefault="0018275F">
      <w:pPr>
        <w:pStyle w:val="Heading1"/>
        <w:spacing w:after="240"/>
      </w:pPr>
      <w:bookmarkStart w:id="92" w:name="_Toc227332442"/>
      <w:bookmarkStart w:id="93" w:name="_Toc227690675"/>
      <w:bookmarkStart w:id="94" w:name="_Toc227690822"/>
      <w:r>
        <w:rPr>
          <w:sz w:val="28"/>
        </w:rPr>
        <w:lastRenderedPageBreak/>
        <w:t>НОМ ЗҮЙ</w:t>
      </w:r>
      <w:bookmarkEnd w:id="92"/>
      <w:bookmarkEnd w:id="93"/>
      <w:bookmarkEnd w:id="94"/>
    </w:p>
    <w:p>
      <w:pPr/>
      <w:r>
        <w:t>Angrist, J. D., &amp; Krueger, A. B. (1991). Does compulsory school attendance affect schooling and earnings? Quarterly Journal of Economics, 106(4), 979–1014.</w:t>
      </w:r>
    </w:p>
    <w:p>
      <w:pPr/>
      <w:r>
        <w:t>Angrist, J. D., &amp; Lavy, V. (1999). Using Maimonides' rule to estimate the effect of class size on scholastic achievement. Quarterly Journal of Economics, 114(2), 533–575.</w:t>
      </w:r>
    </w:p>
    <w:p>
      <w:pPr/>
      <w:r>
        <w:t>Hanushek, E. A. (2003). The failure of input-based schooling policies. Economic Journal, 113(485), F64–F98.</w:t>
      </w:r>
    </w:p>
    <w:p>
      <w:pPr/>
      <w:r>
        <w:t>Krueger, A. B. (1999). Experimental estimates of education production functions. Quarterly Journal of Economics, 114(2), 497–532.</w:t>
      </w:r>
    </w:p>
    <w:p w14:paraId="26D5DA7E"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752BDD3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2ED1EE08"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6A5702A"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3CCCB21"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7299A2F4"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B0D4F0C"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189E422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0A5B730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7158D69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82D5324"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7DDB88A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A177E1C"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24DDE9A"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2061790A"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66D25D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4524FB9"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4C94E23"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9C77E10"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053C147E"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6CEACFBB"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07302E5A"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5E6ED815"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D648FF8"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75F3FDF9"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2C633457"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4DBC33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2DDE3954"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414A25A8" w14:textId="77777777" w:rsidR="000B782D" w:rsidRDefault="0018275F">
      <w:r>
        <w:br w:type="page"/>
      </w:r>
    </w:p>
    <w:p w14:paraId="54936536" w14:textId="77777777" w:rsidR="000B782D" w:rsidRDefault="0018275F">
      <w:pPr>
        <w:pStyle w:val="Heading1"/>
        <w:spacing w:after="240"/>
      </w:pPr>
      <w:bookmarkStart w:id="95" w:name="_Toc227332443"/>
      <w:bookmarkStart w:id="96" w:name="_Toc227690676"/>
      <w:bookmarkStart w:id="97" w:name="_Toc227690823"/>
      <w:r>
        <w:rPr>
          <w:sz w:val="28"/>
        </w:rPr>
        <w:lastRenderedPageBreak/>
        <w:t>ХАВСРАЛТ</w:t>
      </w:r>
      <w:bookmarkEnd w:id="95"/>
      <w:bookmarkEnd w:id="96"/>
      <w:bookmarkEnd w:id="97"/>
    </w:p>
    <w:p w14:paraId="359EB7E3" w14:textId="77777777" w:rsidR="000B782D" w:rsidRPr="00BE47A5" w:rsidRDefault="0018275F" w:rsidP="00BE47A5">
      <w:pPr>
        <w:pStyle w:val="ListParagraph"/>
        <w:rPr>
          <w:b/>
          <w:bCs/>
        </w:rPr>
      </w:pPr>
      <w:bookmarkStart w:id="98" w:name="_Toc227690677"/>
      <w:r w:rsidRPr="00BE47A5">
        <w:rPr>
          <w:b/>
          <w:bCs/>
        </w:rPr>
        <w:t>Хавсралт А. Альтернатив босго утгууд</w:t>
      </w:r>
      <w:bookmarkEnd w:id="98"/>
    </w:p>
    <w:p w14:paraId="25014F31"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3E47C878" w14:textId="77777777" w:rsidR="000B782D" w:rsidRDefault="0018275F">
      <w:pPr>
        <w:spacing w:before="240" w:after="60" w:line="276" w:lineRule="auto"/>
      </w:pPr>
      <w:bookmarkStart w:id="99"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99"/>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FD3E7F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r>
              <w:t>Доод утга</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Төв утга</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r>
              <w:t>Дээд утга</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r>
              <w:t>Дүгнэлт</w:t>
            </w:r>
          </w:p>
        </w:tc>
      </w:tr>
      <w:tr w:rsidR="000B782D" w14:paraId="3D6D5C4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w:t>
            </w:r>
          </w:p>
        </w:tc>
        <w:tc>
          <w:tcPr>
            <w:tcW w:w="1304" w:type="dxa"/>
            <w:tcBorders>
              <w:top w:val="single" w:sz="4" w:space="0" w:color="000000"/>
              <w:left w:val="single" w:sz="4" w:space="0" w:color="000000"/>
              <w:bottom w:val="single" w:sz="4" w:space="0" w:color="000000"/>
              <w:right w:val="single" w:sz="4" w:space="0" w:color="000000"/>
            </w:tcBorders>
            <w:vAlign w:val="center"/>
          </w:tcPr>
          <w:p>
            <w:r>
              <w:t>3.79</w:t>
            </w:r>
          </w:p>
        </w:tc>
        <w:tc>
          <w:tcPr>
            <w:tcW w:w="1814" w:type="dxa"/>
            <w:tcBorders>
              <w:top w:val="single" w:sz="4" w:space="0" w:color="000000"/>
              <w:left w:val="single" w:sz="4" w:space="0" w:color="000000"/>
              <w:bottom w:val="single" w:sz="4" w:space="0" w:color="000000"/>
              <w:right w:val="single" w:sz="4" w:space="0" w:color="000000"/>
            </w:tcBorders>
            <w:vAlign w:val="center"/>
          </w:tcPr>
          <w:p>
            <w:r>
              <w:t>20.51</w:t>
            </w:r>
          </w:p>
        </w:tc>
        <w:tc>
          <w:tcPr>
            <w:tcW w:w="1304" w:type="dxa"/>
            <w:tcBorders>
              <w:top w:val="single" w:sz="4" w:space="0" w:color="000000"/>
              <w:left w:val="single" w:sz="4" w:space="0" w:color="000000"/>
              <w:bottom w:val="single" w:sz="4" w:space="0" w:color="000000"/>
              <w:right w:val="single" w:sz="4" w:space="0" w:color="000000"/>
            </w:tcBorders>
            <w:vAlign w:val="center"/>
          </w:tcPr>
          <w:p>
            <w:r>
              <w:t>70.06</w:t>
            </w:r>
          </w:p>
        </w:tc>
        <w:tc>
          <w:tcPr>
            <w:tcW w:w="1814" w:type="dxa"/>
            <w:tcBorders>
              <w:top w:val="single" w:sz="4" w:space="0" w:color="000000"/>
              <w:left w:val="single" w:sz="4" w:space="0" w:color="000000"/>
              <w:bottom w:val="single" w:sz="4" w:space="0" w:color="000000"/>
              <w:right w:val="single" w:sz="4" w:space="0" w:color="000000"/>
            </w:tcBorders>
            <w:vAlign w:val="center"/>
          </w:tcPr>
          <w:p>
            <w:r>
              <w:t>Медиан нь 20.51</w:t>
            </w:r>
          </w:p>
        </w:tc>
        <w:tc>
          <w:tcPr>
            <w:tcW w:w="1134" w:type="dxa"/>
            <w:tcBorders>
              <w:top w:val="single" w:sz="4" w:space="0" w:color="000000"/>
              <w:left w:val="single" w:sz="4" w:space="0" w:color="000000"/>
              <w:bottom w:val="single" w:sz="4" w:space="0" w:color="000000"/>
              <w:right w:val="single" w:sz="4" w:space="0" w:color="000000"/>
            </w:tcBorders>
            <w:vAlign w:val="center"/>
          </w:tcPr>
          <w:p>
            <w:r>
              <w:t>Хэлбэлзэл хангалттай</w:t>
            </w:r>
          </w:p>
        </w:tc>
      </w:tr>
      <w:tr w:rsidR="000B782D" w14:paraId="3FC2BE0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r>
              <w:t>Босгоны хайлтын муж</w:t>
            </w:r>
          </w:p>
        </w:tc>
        <w:tc>
          <w:tcPr>
            <w:tcW w:w="1304" w:type="dxa"/>
            <w:tcBorders>
              <w:top w:val="single" w:sz="4" w:space="0" w:color="000000"/>
              <w:left w:val="single" w:sz="4" w:space="0" w:color="000000"/>
              <w:bottom w:val="single" w:sz="4" w:space="0" w:color="000000"/>
              <w:right w:val="single" w:sz="4" w:space="0" w:color="000000"/>
            </w:tcBorders>
            <w:vAlign w:val="center"/>
          </w:tcPr>
          <w:p>
            <w:r>
              <w:t>15%</w:t>
            </w:r>
          </w:p>
        </w:tc>
        <w:tc>
          <w:tcPr>
            <w:tcW w:w="1814" w:type="dxa"/>
            <w:tcBorders>
              <w:top w:val="single" w:sz="4" w:space="0" w:color="000000"/>
              <w:left w:val="single" w:sz="4" w:space="0" w:color="000000"/>
              <w:bottom w:val="single" w:sz="4" w:space="0" w:color="000000"/>
              <w:right w:val="single" w:sz="4" w:space="0" w:color="000000"/>
            </w:tcBorders>
            <w:vAlign w:val="center"/>
          </w:tcPr>
          <w:p>
            <w:r>
              <w:t>—</w:t>
            </w:r>
          </w:p>
        </w:tc>
        <w:tc>
          <w:tcPr>
            <w:tcW w:w="1304" w:type="dxa"/>
            <w:tcBorders>
              <w:top w:val="single" w:sz="4" w:space="0" w:color="000000"/>
              <w:left w:val="single" w:sz="4" w:space="0" w:color="000000"/>
              <w:bottom w:val="single" w:sz="4" w:space="0" w:color="000000"/>
              <w:right w:val="single" w:sz="4" w:space="0" w:color="000000"/>
            </w:tcBorders>
            <w:vAlign w:val="center"/>
          </w:tcPr>
          <w:p>
            <w:r>
              <w:t>85%</w:t>
            </w:r>
          </w:p>
        </w:tc>
        <w:tc>
          <w:tcPr>
            <w:tcW w:w="1814" w:type="dxa"/>
            <w:tcBorders>
              <w:top w:val="single" w:sz="4" w:space="0" w:color="000000"/>
              <w:left w:val="single" w:sz="4" w:space="0" w:color="000000"/>
              <w:bottom w:val="single" w:sz="4" w:space="0" w:color="000000"/>
              <w:right w:val="single" w:sz="4" w:space="0" w:color="000000"/>
            </w:tcBorders>
            <w:vAlign w:val="center"/>
          </w:tcPr>
          <w:p>
            <w:r>
              <w:t>Хэт жижиг регимээс сэргийлсэн</w:t>
            </w:r>
          </w:p>
        </w:tc>
        <w:tc>
          <w:tcPr>
            <w:tcW w:w="1134" w:type="dxa"/>
            <w:tcBorders>
              <w:top w:val="single" w:sz="4" w:space="0" w:color="000000"/>
              <w:left w:val="single" w:sz="4" w:space="0" w:color="000000"/>
              <w:bottom w:val="single" w:sz="4" w:space="0" w:color="000000"/>
              <w:right w:val="single" w:sz="4" w:space="0" w:color="000000"/>
            </w:tcBorders>
            <w:vAlign w:val="center"/>
          </w:tcPr>
          <w:p>
            <w:r>
              <w:t>Зохистой</w:t>
            </w:r>
          </w:p>
        </w:tc>
      </w:tr>
      <w:tr w:rsidR="000B782D" w14:paraId="6A27646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r>
              <w:t>Сонгогдсон босго</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814" w:type="dxa"/>
            <w:tcBorders>
              <w:top w:val="single" w:sz="4" w:space="0" w:color="000000"/>
              <w:left w:val="single" w:sz="4" w:space="0" w:color="000000"/>
              <w:bottom w:val="single" w:sz="4" w:space="0" w:color="000000"/>
              <w:right w:val="single" w:sz="4" w:space="0" w:color="000000"/>
            </w:tcBorders>
            <w:vAlign w:val="center"/>
          </w:tcPr>
          <w:p>
            <w:r>
              <w:t>19.53</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814" w:type="dxa"/>
            <w:tcBorders>
              <w:top w:val="single" w:sz="4" w:space="0" w:color="000000"/>
              <w:left w:val="single" w:sz="4" w:space="0" w:color="000000"/>
              <w:bottom w:val="single" w:sz="4" w:space="0" w:color="000000"/>
              <w:right w:val="single" w:sz="4" w:space="0" w:color="000000"/>
            </w:tcBorders>
            <w:vAlign w:val="center"/>
          </w:tcPr>
          <w:p>
            <w:r>
              <w:t>Зорилгын функцийн минимум</w:t>
            </w:r>
          </w:p>
        </w:tc>
        <w:tc>
          <w:tcPr>
            <w:tcW w:w="1134" w:type="dxa"/>
            <w:tcBorders>
              <w:top w:val="single" w:sz="4" w:space="0" w:color="000000"/>
              <w:left w:val="single" w:sz="4" w:space="0" w:color="000000"/>
              <w:bottom w:val="single" w:sz="4" w:space="0" w:color="000000"/>
              <w:right w:val="single" w:sz="4" w:space="0" w:color="000000"/>
            </w:tcBorders>
            <w:vAlign w:val="center"/>
          </w:tcPr>
          <w:p>
            <w:r>
              <w:t>Үндсэн босго</w:t>
            </w:r>
          </w:p>
        </w:tc>
      </w:tr>
      <w:tr>
        <w:tc>
          <w:tcPr>
            <w:tcW w:type="dxa" w:w="1417"/>
          </w:tcPr>
          <w:p>
            <w:r>
              <w:t>Боловсролтой корреляци</w:t>
            </w:r>
          </w:p>
        </w:tc>
        <w:tc>
          <w:tcPr>
            <w:tcW w:type="dxa" w:w="1304"/>
          </w:tcPr>
          <w:p>
            <w:r>
              <w:t>—</w:t>
            </w:r>
          </w:p>
        </w:tc>
        <w:tc>
          <w:tcPr>
            <w:tcW w:type="dxa" w:w="1814"/>
          </w:tcPr>
          <w:p>
            <w:r>
              <w:t>−0.049</w:t>
            </w:r>
          </w:p>
        </w:tc>
        <w:tc>
          <w:tcPr>
            <w:tcW w:type="dxa" w:w="1304"/>
          </w:tcPr>
          <w:p>
            <w:r>
              <w:t>—</w:t>
            </w:r>
          </w:p>
        </w:tc>
        <w:tc>
          <w:tcPr>
            <w:tcW w:type="dxa" w:w="1814"/>
          </w:tcPr>
          <w:p>
            <w:r>
              <w:t>Механик давхцал бага</w:t>
            </w:r>
          </w:p>
        </w:tc>
        <w:tc>
          <w:tcPr>
            <w:tcW w:type="dxa" w:w="1134"/>
          </w:tcPr>
          <w:p>
            <w:r>
              <w:t>Дэмжигдсэн</w:t>
            </w:r>
          </w:p>
        </w:tc>
      </w:tr>
    </w:tbl>
    <w:p w14:paraId="0444AE4D" w14:textId="77777777" w:rsidR="000B782D" w:rsidRDefault="0018275F">
      <w:pPr>
        <w:spacing w:before="60" w:after="240" w:line="276" w:lineRule="auto"/>
        <w:jc w:val="right"/>
      </w:pPr>
      <w:r>
        <w:rPr>
          <w:i/>
          <w:sz w:val="20"/>
        </w:rPr>
        <w:t>Эх сурвалж: Оюутны тооцоолол</w:t>
      </w:r>
    </w:p>
    <w:p w14:paraId="59DF6762" w14:textId="77777777" w:rsidR="000B782D" w:rsidRPr="00BE47A5" w:rsidRDefault="0018275F" w:rsidP="00BE47A5">
      <w:pPr>
        <w:rPr>
          <w:b/>
          <w:bCs/>
        </w:rPr>
      </w:pPr>
      <w:bookmarkStart w:id="100" w:name="_Toc227690678"/>
      <w:r w:rsidRPr="00BE47A5">
        <w:rPr>
          <w:b/>
          <w:bCs/>
        </w:rPr>
        <w:t>Хавсралт Б. ҮСХ-ны нээлттэй өгөгдлийн бүтэц</w:t>
      </w:r>
      <w:bookmarkEnd w:id="100"/>
    </w:p>
    <w:p w14:paraId="6A8E0945"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660680C5" w14:textId="77777777" w:rsidR="000B782D" w:rsidRDefault="0018275F">
      <w:pPr>
        <w:spacing w:before="60" w:after="60"/>
        <w:ind w:left="709" w:hanging="283"/>
        <w:jc w:val="both"/>
      </w:pPr>
      <w:r>
        <w:t>— DT_NSO_2001_001V1 — Сумын ЕБС-ийн тоо 2000–2024.</w:t>
      </w:r>
    </w:p>
    <w:p w14:paraId="2286E434" w14:textId="77777777" w:rsidR="000B782D" w:rsidRDefault="0018275F">
      <w:pPr>
        <w:spacing w:before="60" w:after="60"/>
        <w:ind w:left="709" w:hanging="283"/>
        <w:jc w:val="both"/>
      </w:pPr>
      <w:r>
        <w:t>— DT_NSO_2001_002V1 — Сумын ЕБС-ийн багшийн тоо 2000–2024.</w:t>
      </w:r>
    </w:p>
    <w:p w14:paraId="2BED622E" w14:textId="77777777" w:rsidR="000B782D" w:rsidRDefault="0018275F">
      <w:pPr>
        <w:spacing w:before="60" w:after="60"/>
        <w:ind w:left="709" w:hanging="283"/>
        <w:jc w:val="both"/>
      </w:pPr>
      <w:r>
        <w:t>— DT_NSO_2001_004V1 — Сумын ЕБС-ийн сурагчийн тоо 2000–2024.</w:t>
      </w:r>
    </w:p>
    <w:p w14:paraId="4CDC3688"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3724E59C" w14:textId="77777777" w:rsidR="000B782D" w:rsidRPr="00BE47A5" w:rsidRDefault="0018275F" w:rsidP="00BE47A5">
      <w:pPr>
        <w:rPr>
          <w:b/>
          <w:bCs/>
        </w:rPr>
      </w:pPr>
      <w:bookmarkStart w:id="101" w:name="_Toc227690679"/>
      <w:r w:rsidRPr="00BE47A5">
        <w:rPr>
          <w:b/>
          <w:bCs/>
        </w:rPr>
        <w:t>Хавсралт В. Программ хангамжийн код</w:t>
      </w:r>
      <w:bookmarkEnd w:id="101"/>
    </w:p>
    <w:p w14:paraId="1D896239"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D896" w14:textId="77777777" w:rsidR="00F44A9E" w:rsidRDefault="00F44A9E">
      <w:pPr>
        <w:spacing w:before="0" w:after="0" w:line="240" w:lineRule="auto"/>
      </w:pPr>
      <w:r>
        <w:separator/>
      </w:r>
    </w:p>
  </w:endnote>
  <w:endnote w:type="continuationSeparator" w:id="0">
    <w:p w14:paraId="2AF38C62" w14:textId="77777777" w:rsidR="00F44A9E" w:rsidRDefault="00F44A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72D8"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DC4D" w14:textId="77777777" w:rsidR="00F44A9E" w:rsidRDefault="00F44A9E">
      <w:pPr>
        <w:spacing w:before="0" w:after="0" w:line="240" w:lineRule="auto"/>
      </w:pPr>
      <w:r>
        <w:separator/>
      </w:r>
    </w:p>
  </w:footnote>
  <w:footnote w:type="continuationSeparator" w:id="0">
    <w:p w14:paraId="7ABC11A7" w14:textId="77777777" w:rsidR="00F44A9E" w:rsidRDefault="00F44A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4119"/>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38</Pages>
  <Words>9328</Words>
  <Characters>53174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6</cp:revision>
  <dcterms:created xsi:type="dcterms:W3CDTF">2026-04-17T03:55:00Z</dcterms:created>
  <dcterms:modified xsi:type="dcterms:W3CDTF">2026-04-21T11:31:00Z</dcterms:modified>
</cp:coreProperties>
</file>