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6117FFC6" w14:textId="77777777" w:rsidR="000B782D" w:rsidRDefault="0018275F">
      <w:pPr>
        <w:pStyle w:val="Heading2"/>
        <w:spacing w:after="120"/>
      </w:pPr>
      <w:r>
        <w:t>2.1. Судалгааны загвар ба хувьсагчдын тогтолцоо</w:t>
      </w:r>
    </w:p>
    <w:p w14:paraId="70BC428B"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0151B2C1"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ε</m:t>
            </m:r>
          </m:e>
          <m:sub>
            <m:r>
              <m:t>i</m:t>
            </m:r>
          </m:sub>
        </m:sSub>
      </m:oMath>
      <w:r>
        <w:tab/>
        <w:t>(2)</w:t>
      </w:r>
    </w:p>
    <w:p w14:paraId="36434B17"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4EA474F1" w14:textId="77777777" w:rsidR="000B782D" w:rsidRDefault="0018275F">
      <w:pPr>
        <w:pStyle w:val="Heading2"/>
        <w:spacing w:after="120"/>
      </w:pPr>
      <w:r>
        <w:t>2.2. ЭХБК суурь үнэлгээ</w:t>
      </w:r>
    </w:p>
    <w:p w14:paraId="162720B6" w14:textId="77777777" w:rsidR="000B782D" w:rsidRDefault="0018275F">
      <w:pPr>
        <w:ind w:firstLine="567"/>
        <w:jc w:val="both"/>
      </w:pPr>
      <w:r>
        <w:t>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зүйлтэй холбоотой байж болно. Иймээс ЭХБК нь дараагийн ХШХБК болон ХХБР үнэлгээтэй харьцуулах суурь үзүүлэлт болно.</w:t>
      </w:r>
    </w:p>
    <w:p w14:paraId="761EB3D1" w14:textId="77777777" w:rsidR="000B782D" w:rsidRDefault="0018275F">
      <w:pPr>
        <w:tabs>
          <w:tab w:val="center" w:pos="4535"/>
          <w:tab w:val="right" w:pos="9071"/>
        </w:tabs>
      </w:pPr>
      <w:r>
        <w:tab/>
      </w:r>
      <m:oMath>
        <m:sSub>
          <m:e>
            <m:acc>
              <m:accPr>
                <m:chr m:val="̂"/>
              </m:accPr>
              <m:e>
                <m:r>
                  <m:t>θ</m:t>
                </m:r>
              </m:e>
            </m:acc>
          </m:e>
          <m:sub>
            <m:r>
              <m:t>O</m:t>
            </m:r>
            <m:r>
              <m:t>L</m:t>
            </m:r>
            <m: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sSub>
              <m:e>
                <m:r>
                  <m:t>h</m:t>
                </m:r>
              </m:e>
              <m:sub>
                <m:r>
                  <m:t>i</m:t>
                </m:r>
              </m:sub>
            </m:sSub>
          </m:e>
        </m:nary>
        <m:sSup>
          <m:e>
            <m:d>
              <m:dPr>
                <m:begChr m:val="["/>
                <m:sepChr m:val=""/>
                <m:endChr m:val="]"/>
                <m:grow/>
              </m:dPr>
              <m:e>
                <m:r>
                  <m:rPr>
                    <m:sty m:val="p"/>
                  </m:rPr>
                  <m:t>ln</m:t>
                </m:r>
                <m:r>
                  <m:rPr>
                    <m:sty m:val="p"/>
                  </m:rPr>
                  <m:t>(</m:t>
                </m:r>
                <m:sSub>
                  <m:e>
                    <m:r>
                      <m:t>w</m:t>
                    </m:r>
                  </m:e>
                  <m:sub>
                    <m:r>
                      <m:t>i</m:t>
                    </m:r>
                  </m:sub>
                </m:sSub>
                <m:r>
                  <m:rPr>
                    <m:sty m:val="p"/>
                  </m:rPr>
                  <m:t>)</m:t>
                </m:r>
                <m:r>
                  <m:rPr>
                    <m:sty m:val="p"/>
                  </m:rPr>
                  <m:t>−</m:t>
                </m:r>
                <m:d>
                  <m:dPr>
                    <m:begChr m:val="("/>
                    <m:sepChr m:val=""/>
                    <m:endChr m:val=")"/>
                    <m:grow/>
                  </m:dPr>
                  <m:e>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e>
                </m:d>
              </m:e>
            </m:d>
          </m:e>
          <m:sup>
            <m:r>
              <m:t>2</m:t>
            </m:r>
          </m:sup>
        </m:sSup>
      </m:oMath>
      <w:r>
        <w:tab/>
        <w:t>(3)</w:t>
      </w:r>
    </w:p>
    <w:p w14:paraId="12E540A1"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7FED22F2" w14:textId="77777777" w:rsidR="000B782D" w:rsidRDefault="0018275F">
      <w:pPr>
        <w:tabs>
          <w:tab w:val="center" w:pos="4535"/>
          <w:tab w:val="right" w:pos="9071"/>
        </w:tabs>
      </w:pPr>
      <w:r>
        <w:tab/>
      </w:r>
      <m:oMath>
        <m:r>
          <m:t>r</m:t>
        </m:r>
        <m:r>
          <m:rPr>
            <m:sty m:val="p"/>
          </m:rPr>
          <m:t>(</m:t>
        </m:r>
        <m:acc>
          <m:accPr>
            <m:chr m:val="̂"/>
          </m:accPr>
          <m:e>
            <m:r>
              <m:t>β</m:t>
            </m:r>
          </m:e>
        </m:acc>
        <m:r>
          <m:rPr>
            <m:sty m:val="p"/>
          </m:rPr>
          <m:t>)</m:t>
        </m:r>
        <m:r>
          <m:rPr>
            <m:sty m:val="p"/>
          </m:rPr>
          <m:t>=</m:t>
        </m:r>
        <m:r>
          <m:t>100</m:t>
        </m:r>
        <m:d>
          <m:dPr>
            <m:begChr m:val="["/>
            <m:sepChr m:val=""/>
            <m:endChr m:val="]"/>
            <m:grow/>
          </m:dPr>
          <m:e>
            <m:r>
              <m:rPr>
                <m:sty m:val="p"/>
              </m:rPr>
              <m:t>exp</m:t>
            </m:r>
            <m:r>
              <m:rPr>
                <m:sty m:val="p"/>
              </m:rPr>
              <m:t>(</m:t>
            </m:r>
            <m:acc>
              <m:accPr>
                <m:chr m:val="̂"/>
              </m:accPr>
              <m:e>
                <m:r>
                  <m:t>β</m:t>
                </m:r>
              </m:e>
            </m:acc>
            <m:r>
              <m:rPr>
                <m:sty m:val="p"/>
              </m:rPr>
              <m:t>)</m:t>
            </m:r>
            <m:r>
              <m:rPr>
                <m:sty m:val="p"/>
              </m:rPr>
              <m:t>−</m:t>
            </m:r>
            <m:r>
              <m:t>1</m:t>
            </m:r>
          </m:e>
        </m:d>
      </m:oMath>
      <w:r>
        <w:tab/>
        <w:t>(4)</w:t>
      </w:r>
    </w:p>
    <w:p w14:paraId="4762A289"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E024F17" w14:textId="77777777" w:rsidR="000B782D" w:rsidRDefault="0018275F">
      <w:pPr>
        <w:pStyle w:val="Heading2"/>
        <w:spacing w:after="120"/>
      </w:pPr>
      <w:r>
        <w:t>2.3. Хэрэгсэл хувьсагчтай үнэлгээ</w:t>
      </w:r>
    </w:p>
    <w:p w14:paraId="29A0FFB8"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207F11EF"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45DFBA5E" w14:textId="77777777" w:rsidR="000B782D" w:rsidRDefault="0018275F">
      <w:pPr>
        <w:ind w:firstLine="567"/>
        <w:jc w:val="both"/>
      </w:pPr>
      <w:r>
        <w:t>Эхний шатны тэгшитгэлийг дараах байдлаар тодорхойлно:</w:t>
      </w:r>
    </w:p>
    <w:p w14:paraId="32FD78FF" w14:textId="77777777" w:rsidR="000B782D" w:rsidRDefault="0018275F">
      <w:pPr>
        <w:tabs>
          <w:tab w:val="center" w:pos="4535"/>
          <w:tab w:val="right" w:pos="9071"/>
        </w:tabs>
      </w:pPr>
      <w:r>
        <w:tab/>
      </w:r>
      <m:oMath>
        <m:r>
          <m:t>e</m:t>
        </m:r>
        <m:r>
          <m:t>d</m:t>
        </m:r>
        <m:r>
          <m:t>u</m:t>
        </m:r>
        <m:sSub>
          <m:e>
            <m:r>
              <m:t>c</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sSubSup>
          <m:e>
            <m:r>
              <m:t>X</m:t>
            </m:r>
          </m:e>
          <m:sub>
            <m:r>
              <m:t>i</m:t>
            </m:r>
          </m:sub>
          <m:sup>
            <m:r>
              <m:rPr>
                <m:sty m:val="p"/>
              </m:rPr>
              <m:t>′</m:t>
            </m:r>
          </m:sup>
        </m:sSubSup>
        <m:sSub>
          <m:e>
            <m:r>
              <m:t>π</m:t>
            </m:r>
          </m:e>
          <m:sub>
            <m:r>
              <m:t>2</m:t>
            </m:r>
          </m:sub>
        </m:sSub>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v</m:t>
            </m:r>
          </m:e>
          <m:sub>
            <m:r>
              <m:t>i</m:t>
            </m:r>
          </m:sub>
        </m:sSub>
      </m:oMath>
      <w:r>
        <w:tab/>
        <w:t>(5)</w:t>
      </w:r>
    </w:p>
    <w:p w14:paraId="4117A81A" w14:textId="77777777" w:rsidR="000B782D" w:rsidRDefault="0018275F">
      <w:pPr>
        <w:ind w:firstLine="567"/>
        <w:jc w:val="both"/>
      </w:pPr>
      <w:r>
        <w:t>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хувьсагч ашиглаж байгаа тул загвар яг тодорхойлогдсон хэлбэртэй бөгөөд хэт тодорхойлогдсон байдлын J шалгуурыг хэрэглэхгүй.</w:t>
      </w:r>
    </w:p>
    <w:p w14:paraId="4398C2A4"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sSub>
          <m:e>
            <m:acc>
              <m:accPr>
                <m:chr m:val="̂"/>
              </m:accPr>
              <m:e>
                <m:r>
                  <m:t>e</m:t>
                </m:r>
                <m:r>
                  <m:t>d</m:t>
                </m:r>
                <m:r>
                  <m:t>u</m:t>
                </m:r>
                <m:r>
                  <m:t>c</m:t>
                </m:r>
              </m:e>
            </m:acc>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(6)</w:t>
      </w:r>
    </w:p>
    <w:p w14:paraId="566FD535"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1B5344F9" w14:textId="77777777" w:rsidR="000B782D" w:rsidRDefault="0018275F">
      <w:pPr>
        <w:pStyle w:val="Heading2"/>
        <w:spacing w:after="120"/>
      </w:pPr>
      <w:r>
        <w:t>2.4. Хэрэгсэл хувьсагчтай босго утгат регресс (ХХБР)</w:t>
      </w:r>
    </w:p>
    <w:p w14:paraId="6489BB74"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12E9376C"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rPr>
            <m:scr m:val="double-struck"/>
            <m:sty m:val="p"/>
          </m:rPr>
          <m:t>1</m:t>
        </m:r>
        <m:r>
          <m:rPr>
            <m:sty m:val="p"/>
          </m:rPr>
          <m:t>(</m:t>
        </m:r>
        <m:sSub>
          <m:e>
            <m:r>
              <m:t>q</m:t>
            </m:r>
          </m:e>
          <m:sub>
            <m:r>
              <m:t>i</m:t>
            </m:r>
          </m:sub>
        </m:sSub>
        <m:r>
          <m:rPr>
            <m:sty m:val="p"/>
          </m:rPr>
          <m:t>≤</m:t>
        </m:r>
        <m:r>
          <m:t>γ</m:t>
        </m:r>
        <m:r>
          <m:rPr>
            <m:sty m:val="p"/>
          </m:rPr>
          <m:t>)</m:t>
        </m:r>
        <m:r>
          <m:rPr>
            <m:sty m:val="p"/>
          </m:rPr>
          <m:t>(</m:t>
        </m:r>
        <m:sSub>
          <m:e>
            <m:r>
              <m:t>α</m:t>
            </m:r>
          </m:e>
          <m:sub>
            <m:r>
              <m:t>1</m:t>
            </m:r>
          </m:sub>
        </m:sSub>
        <m:r>
          <m:rPr>
            <m:sty m:val="p"/>
          </m:rPr>
          <m:t>+</m:t>
        </m:r>
        <m:sSub>
          <m:e>
            <m:r>
              <m:t>β</m:t>
            </m:r>
          </m:e>
          <m:sub>
            <m:r>
              <m:t>1</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1</m:t>
            </m:r>
          </m:sub>
        </m:sSub>
        <m:r>
          <m:rPr>
            <m:sty m:val="p"/>
          </m:rPr>
          <m:t>)</m:t>
        </m:r>
        <m:r>
          <m:rPr>
            <m:sty m:val="p"/>
          </m:rPr>
          <m:t>+</m:t>
        </m:r>
        <m:r>
          <m:rPr>
            <m:scr m:val="double-struck"/>
            <m:sty m:val="p"/>
          </m:rPr>
          <m:t>1</m:t>
        </m:r>
        <m:r>
          <m:rPr>
            <m:sty m:val="p"/>
          </m:rPr>
          <m:t>(</m:t>
        </m:r>
        <m:sSub>
          <m:e>
            <m:r>
              <m:t>q</m:t>
            </m:r>
          </m:e>
          <m:sub>
            <m:r>
              <m:t>i</m:t>
            </m:r>
          </m:sub>
        </m:sSub>
        <m:r>
          <m:rPr>
            <m:sty m:val="p"/>
          </m:rPr>
          <m:t>&gt;</m:t>
        </m:r>
        <m:r>
          <m:t>γ</m:t>
        </m:r>
        <m:r>
          <m:rPr>
            <m:sty m:val="p"/>
          </m:rPr>
          <m:t>)</m:t>
        </m:r>
        <m:r>
          <m:rPr>
            <m:sty m:val="p"/>
          </m:rPr>
          <m:t>(</m:t>
        </m:r>
        <m:sSub>
          <m:e>
            <m:r>
              <m:t>α</m:t>
            </m:r>
          </m:e>
          <m:sub>
            <m:r>
              <m:t>2</m:t>
            </m:r>
          </m:sub>
        </m:sSub>
        <m:r>
          <m:rPr>
            <m:sty m:val="p"/>
          </m:rPr>
          <m:t>+</m:t>
        </m:r>
        <m:sSub>
          <m:e>
            <m:r>
              <m:t>β</m:t>
            </m:r>
          </m:e>
          <m:sub>
            <m:r>
              <m:t>2</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2</m:t>
            </m:r>
          </m:sub>
        </m:sSub>
        <m:r>
          <m:rPr>
            <m:sty m:val="p"/>
          </m:rPr>
          <m:t>)</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(7)</w:t>
      </w:r>
    </w:p>
    <w:p w14:paraId="17FFDB6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4D9044CC" w14:textId="77777777" w:rsidR="000B782D" w:rsidRDefault="0018275F">
      <w:pPr>
        <w:ind w:firstLine="567"/>
        <w:jc w:val="both"/>
      </w:pPr>
      <w: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32AC2C2A" w14:textId="77777777" w:rsidR="000B782D" w:rsidRDefault="0018275F">
      <w:pPr>
        <w:tabs>
          <w:tab w:val="center" w:pos="4535"/>
          <w:tab w:val="right" w:pos="9071"/>
        </w:tabs>
      </w:pPr>
      <w:r>
        <w:tab/>
      </w:r>
      <m:oMath>
        <m:acc>
          <m:accPr>
            <m:chr m:val="̂"/>
          </m:accPr>
          <m:e>
            <m:r>
              <m:t>γ</m:t>
            </m:r>
          </m:e>
        </m:acc>
        <m:r>
          <m:rPr>
            <m:sty m:val="p"/>
          </m:rPr>
          <m:t>=</m:t>
        </m:r>
        <m:r>
          <m:rPr>
            <m:sty m:val="p"/>
          </m:rPr>
          <m:t>arg</m:t>
        </m:r>
        <m:limLow>
          <m:e>
            <m:r>
              <m:rPr>
                <m:sty m:val="p"/>
              </m:rPr>
              <m:t>min</m:t>
            </m:r>
          </m:e>
          <m:lim>
            <m:r>
              <m:t>γ</m:t>
            </m:r>
            <m:r>
              <m:rPr>
                <m:sty m:val="p"/>
              </m:rPr>
              <m:t>∈</m:t>
            </m:r>
            <m:r>
              <m:rPr>
                <m:sty m:val="p"/>
              </m:rPr>
              <m:t>Γ</m:t>
            </m:r>
          </m:lim>
        </m:limLow>
        <m:r>
          <m:t>S</m:t>
        </m:r>
        <m:r>
          <m:t>S</m:t>
        </m:r>
        <m:r>
          <m:t>R</m:t>
        </m:r>
        <m:r>
          <m:rPr>
            <m:sty m:val="p"/>
          </m:rPr>
          <m:t>(</m:t>
        </m:r>
        <m:r>
          <m:t>γ</m:t>
        </m:r>
        <m:r>
          <m:rPr>
            <m:sty m:val="p"/>
          </m:rPr>
          <m:t>)</m:t>
        </m:r>
        <m:r>
          <m:rPr>
            <m:sty m:val="p"/>
          </m:rPr>
          <m:t>,</m:t>
        </m:r>
        <m:r>
          <m:t> </m:t>
        </m:r>
        <m:r>
          <m:rPr>
            <m:sty m:val="p"/>
          </m:rPr>
          <m:t>Γ</m:t>
        </m:r>
        <m:r>
          <m:rPr>
            <m:sty m:val="p"/>
          </m:rPr>
          <m:t>=</m:t>
        </m:r>
        <m:r>
          <m:rPr>
            <m:sty m:val="p"/>
          </m:rPr>
          <m:t>[</m:t>
        </m:r>
        <m:sSub>
          <m:e>
            <m:r>
              <m:t>Q</m:t>
            </m:r>
          </m:e>
          <m:sub>
            <m:r>
              <m:t>0.15</m:t>
            </m:r>
          </m:sub>
        </m:sSub>
        <m:r>
          <m:rPr>
            <m:sty m:val="p"/>
          </m:rPr>
          <m:t>(</m:t>
        </m:r>
        <m:r>
          <m:t>q</m:t>
        </m:r>
        <m:r>
          <m:rPr>
            <m:sty m:val="p"/>
          </m:rPr>
          <m:t>)</m:t>
        </m:r>
        <m:r>
          <m:rPr>
            <m:sty m:val="p"/>
          </m:rPr>
          <m:t>,</m:t>
        </m:r>
        <m:sSub>
          <m:e>
            <m:r>
              <m:t>Q</m:t>
            </m:r>
          </m:e>
          <m:sub>
            <m:r>
              <m:t>0.85</m:t>
            </m:r>
          </m:sub>
        </m:sSub>
        <m:r>
          <m:rPr>
            <m:sty m:val="p"/>
          </m:rPr>
          <m:t>(</m:t>
        </m:r>
        <m:r>
          <m:t>q</m:t>
        </m:r>
        <m:r>
          <m:rPr>
            <m:sty m:val="p"/>
          </m:rPr>
          <m:t>)</m:t>
        </m:r>
        <m:r>
          <m:rPr>
            <m:sty m:val="p"/>
          </m:rPr>
          <m:t>]</m:t>
        </m:r>
        <m:r>
          <m:rPr>
            <m:sty m:val="p"/>
          </m:rPr>
          <m:t>,</m:t>
        </m:r>
        <m:r>
          <m:t> </m:t>
        </m:r>
        <m:sSub>
          <m:e>
            <m:r>
              <m:rPr>
                <m:sty m:val="p"/>
              </m:rPr>
              <m:t>Δ</m:t>
            </m:r>
          </m:e>
          <m:sub>
            <m:r>
              <m:t>β</m:t>
            </m:r>
          </m:sub>
        </m:sSub>
        <m:r>
          <m:rPr>
            <m:sty m:val="p"/>
          </m:rPr>
          <m:t>=</m:t>
        </m:r>
        <m:sSub>
          <m:e>
            <m:acc>
              <m:accPr>
                <m:chr m:val="̂"/>
              </m:accPr>
              <m:e>
                <m:r>
                  <m:t>β</m:t>
                </m:r>
              </m:e>
            </m:acc>
          </m:e>
          <m:sub>
            <m:r>
              <m:t>h</m:t>
            </m:r>
            <m:r>
              <m:t>i</m:t>
            </m:r>
            <m:r>
              <m:t>g</m:t>
            </m:r>
            <m:r>
              <m:t>h</m:t>
            </m:r>
          </m:sub>
        </m:sSub>
        <m:r>
          <m:rPr>
            <m:sty m:val="p"/>
          </m:rPr>
          <m:t>−</m:t>
        </m:r>
        <m:sSub>
          <m:e>
            <m:acc>
              <m:accPr>
                <m:chr m:val="̂"/>
              </m:accPr>
              <m:e>
                <m:r>
                  <m:t>β</m:t>
                </m:r>
              </m:e>
            </m:acc>
          </m:e>
          <m:sub>
            <m:r>
              <m:t>l</m:t>
            </m:r>
            <m:r>
              <m:t>o</m:t>
            </m:r>
            <m:r>
              <m:t>w</m:t>
            </m:r>
          </m:sub>
        </m:sSub>
      </m:oMath>
      <w:r>
        <w:tab/>
        <w:t>(8)</w:t>
      </w:r>
    </w:p>
    <w:p w14:paraId="122709DF" w14:textId="77777777" w:rsidR="000B782D" w:rsidRDefault="0018275F">
      <w:pPr>
        <w:ind w:firstLine="567"/>
        <w:jc w:val="both"/>
      </w:pPr>
      <w:r>
        <w:t>Регимүүдийн ялгааг хоёр регимийн боловсролын өгөөжийн зөрүүгээр хэмжинэ. Босго болон регимийн ялгааны статистик ач холбогдлыг төрсөн аймгийн түвшинд 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7EB275D7"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1F5FC466" w14:textId="77777777" w:rsidR="000B782D" w:rsidRDefault="0018275F">
      <w:pPr>
        <w:pStyle w:val="Heading2"/>
        <w:spacing w:after="120"/>
      </w:pPr>
      <w:r>
        <w:t>2.5. Үр дүнгийн бат бөх байдлын шинжилгээний бүтэц</w:t>
      </w:r>
    </w:p>
    <w:p w14:paraId="37FE4A4E"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r>
        <w:t>3.1. Өгөгдлийн эх сурвалж</w:t>
      </w:r>
    </w:p>
    <w:p w14:paraId="19820CAB"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D2CC1BB"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2910F2F5" w14:textId="77777777" w:rsidR="000B782D" w:rsidRDefault="0018275F">
      <w:pPr>
        <w:pStyle w:val="Heading2"/>
        <w:spacing w:after="120"/>
      </w:pPr>
      <w:r>
        <w:t>3.2. Түүврийн бүрдүүлэлт ба хамрах хүрээ</w:t>
      </w:r>
    </w:p>
    <w:p w14:paraId="0A457A8C"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267B02A9"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821D0E7" w14:textId="77777777" w:rsidR="00972FBE" w:rsidRDefault="00D33DC4">
      <w:r>
        <w:t>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4582103"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63F72390"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1B1C435A" w14:textId="77777777" w:rsidR="00972FBE" w:rsidRDefault="00D33DC4">
      <w:r/>
    </w:p>
    <w:p w14:paraId="265086B9" w14:textId="77777777" w:rsidR="00972FBE" w:rsidRDefault="00D33DC4">
      <w:pPr>
        <w:pStyle w:val="Heading2"/>
      </w:pPr>
      <w:r>
        <w:t>3.3. Үндсэн хувьсагчдын тодорхойлолт</w:t>
      </w:r>
    </w:p>
    <w:p w14:paraId="7A4D356E"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7F07AF13" w14:textId="77777777" w:rsidR="000B782D" w:rsidRDefault="0018275F">
      <w:pPr>
        <w:tabs>
          <w:tab w:val="center" w:pos="4535"/>
          <w:tab w:val="right" w:pos="9071"/>
        </w:tabs>
      </w:pPr>
      <w:r>
        <w:tab/>
      </w:r>
      <m:oMath>
        <m:r>
          <m:t>P</m:t>
        </m:r>
        <m:sSub>
          <m:e>
            <m:r>
              <m:t>E</m:t>
            </m:r>
          </m:e>
          <m:sub>
            <m:r>
              <m:t>i</m:t>
            </m:r>
          </m:sub>
        </m:sSub>
        <m:r>
          <m:rPr>
            <m:sty m:val="p"/>
          </m:rPr>
          <m:t>=</m:t>
        </m:r>
        <m:f>
          <m:fPr>
            <m:type m:val="bar"/>
          </m:fPr>
          <m:num>
            <m:sSubSup>
              <m:e>
                <m:r>
                  <m:t>E</m:t>
                </m:r>
              </m:e>
              <m:sub>
                <m:r>
                  <m:t>i</m:t>
                </m:r>
              </m:sub>
              <m:sup>
                <m:r>
                  <m:t>f</m:t>
                </m:r>
                <m:r>
                  <m:t>a</m:t>
                </m:r>
                <m:r>
                  <m:t>t</m:t>
                </m:r>
                <m:r>
                  <m:t>h</m:t>
                </m:r>
                <m:r>
                  <m:t>e</m:t>
                </m:r>
                <m:r>
                  <m:t>r</m:t>
                </m:r>
              </m:sup>
            </m:sSubSup>
            <m:sSubSup>
              <m:e>
                <m:r>
                  <m:t>I</m:t>
                </m:r>
              </m:e>
              <m:sub>
                <m:r>
                  <m:t>i</m:t>
                </m:r>
              </m:sub>
              <m:sup>
                <m:r>
                  <m:t>f</m:t>
                </m:r>
                <m:r>
                  <m:t>a</m:t>
                </m:r>
                <m:r>
                  <m:t>t</m:t>
                </m:r>
                <m:r>
                  <m:t>h</m:t>
                </m:r>
                <m:r>
                  <m:t>e</m:t>
                </m:r>
                <m:r>
                  <m:t>r</m:t>
                </m:r>
              </m:sup>
            </m:sSubSup>
            <m:r>
              <m:rPr>
                <m:sty m:val="p"/>
              </m:rPr>
              <m:t>+</m:t>
            </m:r>
            <m:sSubSup>
              <m:e>
                <m:r>
                  <m:t>E</m:t>
                </m:r>
              </m:e>
              <m:sub>
                <m:r>
                  <m:t>i</m:t>
                </m:r>
              </m:sub>
              <m:sup>
                <m:r>
                  <m:t>m</m:t>
                </m:r>
                <m:r>
                  <m:t>o</m:t>
                </m:r>
                <m:r>
                  <m:t>t</m:t>
                </m:r>
                <m:r>
                  <m:t>h</m:t>
                </m:r>
                <m:r>
                  <m:t>e</m:t>
                </m:r>
                <m:r>
                  <m:t>r</m:t>
                </m:r>
              </m:sup>
            </m:sSubSup>
            <m:sSubSup>
              <m:e>
                <m:r>
                  <m:t>I</m:t>
                </m:r>
              </m:e>
              <m:sub>
                <m:r>
                  <m:t>i</m:t>
                </m:r>
              </m:sub>
              <m:sup>
                <m:r>
                  <m:t>m</m:t>
                </m:r>
                <m:r>
                  <m:t>o</m:t>
                </m:r>
                <m:r>
                  <m:t>t</m:t>
                </m:r>
                <m:r>
                  <m:t>h</m:t>
                </m:r>
                <m:r>
                  <m:t>e</m:t>
                </m:r>
                <m:r>
                  <m:t>r</m:t>
                </m:r>
              </m:sup>
            </m:sSubSup>
          </m:num>
          <m:den>
            <m:sSubSup>
              <m:e>
                <m:r>
                  <m:t>I</m:t>
                </m:r>
              </m:e>
              <m:sub>
                <m:r>
                  <m:t>i</m:t>
                </m:r>
              </m:sub>
              <m:sup>
                <m:r>
                  <m:t>f</m:t>
                </m:r>
                <m:r>
                  <m:t>a</m:t>
                </m:r>
                <m:r>
                  <m:t>t</m:t>
                </m:r>
                <m:r>
                  <m:t>h</m:t>
                </m:r>
                <m:r>
                  <m:t>e</m:t>
                </m:r>
                <m:r>
                  <m:t>r</m:t>
                </m:r>
              </m:sup>
            </m:sSubSup>
            <m:r>
              <m:rPr>
                <m:sty m:val="p"/>
              </m:rPr>
              <m:t>+</m:t>
            </m:r>
            <m:sSubSup>
              <m:e>
                <m:r>
                  <m:t>I</m:t>
                </m:r>
              </m:e>
              <m:sub>
                <m:r>
                  <m:t>i</m:t>
                </m:r>
              </m:sub>
              <m:sup>
                <m:r>
                  <m:t>m</m:t>
                </m:r>
                <m:r>
                  <m:t>o</m:t>
                </m:r>
                <m:r>
                  <m:t>t</m:t>
                </m:r>
                <m:r>
                  <m:t>h</m:t>
                </m:r>
                <m:r>
                  <m:t>e</m:t>
                </m:r>
                <m:r>
                  <m:t>r</m:t>
                </m:r>
              </m:sup>
            </m:sSubSup>
          </m:den>
        </m:f>
      </m:oMath>
      <w:r>
        <w:tab/>
        <w:t>(9)</w:t>
      </w:r>
    </w:p>
    <w:p w14:paraId="64D45E51"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4233315A" w14:textId="77777777" w:rsidR="000B782D" w:rsidRDefault="0018275F">
      <w:pPr>
        <w:pStyle w:val="Heading2"/>
        <w:spacing w:after="120"/>
      </w:pPr>
      <w:r>
        <w:t>3.4. Босго хувьсагчийн байгууламж</w:t>
      </w:r>
    </w:p>
    <w:p w14:paraId="40F92110"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307634B6" w14:textId="77777777" w:rsidR="00972FBE" w:rsidRDefault="00D33DC4">
      <w:pPr>
        <w:tabs>
          <w:tab w:val="center" w:pos="4535"/>
          <w:tab w:val="right" w:pos="9071"/>
        </w:tabs>
      </w:pPr>
      <w:r>
        <w:tab/>
      </w:r>
      <m:oMath>
        <m:r>
          <m:t>S</m:t>
        </m:r>
        <m:r>
          <m:t>T</m:t>
        </m:r>
        <m:sSub>
          <m:e>
            <m:r>
              <m:t>R</m:t>
            </m:r>
          </m:e>
          <m:sub>
            <m:r>
              <m:t>a</m:t>
            </m:r>
            <m:r>
              <m:rPr>
                <m:sty m:val="p"/>
              </m:rPr>
              <m:t>,</m:t>
            </m:r>
            <m:r>
              <m:t>y</m:t>
            </m:r>
          </m:sub>
        </m:sSub>
        <m:r>
          <m:rPr>
            <m:sty m:val="p"/>
          </m:rPr>
          <m:t>=</m:t>
        </m:r>
        <m:f>
          <m:fPr>
            <m:type m:val="bar"/>
          </m:fPr>
          <m:num>
            <m:r>
              <m:t>S</m:t>
            </m:r>
            <m:r>
              <m:t>t</m:t>
            </m:r>
            <m:r>
              <m:t>u</m:t>
            </m:r>
            <m:r>
              <m:t>d</m:t>
            </m:r>
            <m:r>
              <m:t>e</m:t>
            </m:r>
            <m:r>
              <m:t>n</m:t>
            </m:r>
            <m:r>
              <m:t>t</m:t>
            </m:r>
            <m:sSub>
              <m:e>
                <m:r>
                  <m:t>s</m:t>
                </m:r>
              </m:e>
              <m:sub>
                <m:r>
                  <m:t>a</m:t>
                </m:r>
                <m:r>
                  <m:rPr>
                    <m:sty m:val="p"/>
                  </m:rPr>
                  <m:t>,</m:t>
                </m:r>
                <m:r>
                  <m:t>y</m:t>
                </m:r>
              </m:sub>
            </m:sSub>
          </m:num>
          <m:den>
            <m:r>
              <m:t>T</m:t>
            </m:r>
            <m:r>
              <m:t>e</m:t>
            </m:r>
            <m:r>
              <m:t>a</m:t>
            </m:r>
            <m:r>
              <m:t>c</m:t>
            </m:r>
            <m:r>
              <m:t>h</m:t>
            </m:r>
            <m:r>
              <m:t>e</m:t>
            </m:r>
            <m:r>
              <m:t>r</m:t>
            </m:r>
            <m:sSub>
              <m:e>
                <m:r>
                  <m:t>s</m:t>
                </m:r>
              </m:e>
              <m:sub>
                <m:r>
                  <m:t>a</m:t>
                </m:r>
                <m:r>
                  <m:rPr>
                    <m:sty m:val="p"/>
                  </m:rPr>
                  <m:t>,</m:t>
                </m:r>
                <m:r>
                  <m:t>y</m:t>
                </m:r>
              </m:sub>
            </m:sSub>
          </m:den>
        </m:f>
      </m:oMath>
      <w:r>
        <w:tab/>
        <w:t>(10)</w:t>
      </w:r>
    </w:p>
    <w:p w14:paraId="41D0F20C"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07E29E97" w14:textId="77777777" w:rsidR="00972FBE" w:rsidRDefault="00D33DC4">
      <w:pPr>
        <w:tabs>
          <w:tab w:val="center" w:pos="4535"/>
          <w:tab w:val="right" w:pos="9071"/>
        </w:tabs>
      </w:pPr>
      <w:r>
        <w:tab/>
      </w:r>
      <m:oMath>
        <m:sSub>
          <m:e>
            <m:r>
              <m:t>q</m:t>
            </m:r>
          </m:e>
          <m:sub>
            <m:r>
              <m:t>i</m:t>
            </m:r>
          </m:sub>
        </m:sSub>
        <m:r>
          <m:rPr>
            <m:sty m:val="p"/>
          </m:rPr>
          <m:t>=</m:t>
        </m:r>
        <m:f>
          <m:fPr>
            <m:type m:val="bar"/>
          </m:fPr>
          <m:num>
            <m:r>
              <m:t>1</m:t>
            </m:r>
          </m:num>
          <m:den>
            <m:r>
              <m:t>2</m:t>
            </m:r>
          </m:den>
        </m:f>
        <m:d>
          <m:dPr>
            <m:begChr m:val="("/>
            <m:sepChr m:val=""/>
            <m:endChr m:val=")"/>
            <m:grow/>
          </m:dPr>
          <m:e>
            <m:r>
              <m:t>S</m:t>
            </m:r>
            <m:r>
              <m:t>T</m:t>
            </m:r>
            <m:sSub>
              <m:e>
                <m:r>
                  <m:t>R</m:t>
                </m:r>
              </m:e>
              <m:sub>
                <m:r>
                  <m:t>a</m:t>
                </m:r>
                <m:r>
                  <m:rPr>
                    <m:sty m:val="p"/>
                  </m:rPr>
                  <m:t>(</m:t>
                </m:r>
                <m:r>
                  <m:t>i</m:t>
                </m:r>
                <m:r>
                  <m:rPr>
                    <m:sty m:val="p"/>
                  </m:rPr>
                  <m:t>)</m:t>
                </m:r>
                <m:r>
                  <m:rPr>
                    <m:sty m:val="p"/>
                  </m:rPr>
                  <m:t>,</m:t>
                </m:r>
                <m:r>
                  <m:t> </m:t>
                </m:r>
                <m:sSub>
                  <m:e>
                    <m:r>
                      <m:t>b</m:t>
                    </m:r>
                  </m:e>
                  <m:sub>
                    <m:r>
                      <m:t>i</m:t>
                    </m:r>
                  </m:sub>
                </m:sSub>
                <m:r>
                  <m:rPr>
                    <m:sty m:val="p"/>
                  </m:rPr>
                  <m:t>+</m:t>
                </m:r>
                <m:r>
                  <m:t>17</m:t>
                </m:r>
              </m:sub>
            </m:sSub>
            <m:r>
              <m:rPr>
                <m:sty m:val="p"/>
              </m:rPr>
              <m:t>+</m:t>
            </m:r>
            <m:r>
              <m:t>S</m:t>
            </m:r>
            <m:r>
              <m:t>T</m:t>
            </m:r>
            <m:sSub>
              <m:e>
                <m:r>
                  <m:t>R</m:t>
                </m:r>
              </m:e>
              <m:sub>
                <m:r>
                  <m:t>a</m:t>
                </m:r>
                <m:r>
                  <m:rPr>
                    <m:sty m:val="p"/>
                  </m:rPr>
                  <m:t>(</m:t>
                </m:r>
                <m:r>
                  <m:t>i</m:t>
                </m:r>
                <m:r>
                  <m:rPr>
                    <m:sty m:val="p"/>
                  </m:rPr>
                  <m:t>)</m:t>
                </m:r>
                <m:r>
                  <m:rPr>
                    <m:sty m:val="p"/>
                  </m:rPr>
                  <m:t>,</m:t>
                </m:r>
                <m:r>
                  <m:t> </m:t>
                </m:r>
                <m:sSub>
                  <m:e>
                    <m:r>
                      <m:t>b</m:t>
                    </m:r>
                  </m:e>
                  <m:sub>
                    <m:r>
                      <m:t>i</m:t>
                    </m:r>
                  </m:sub>
                </m:sSub>
                <m:r>
                  <m:rPr>
                    <m:sty m:val="p"/>
                  </m:rPr>
                  <m:t>+</m:t>
                </m:r>
                <m:r>
                  <m:t>18</m:t>
                </m:r>
              </m:sub>
            </m:sSub>
          </m:e>
        </m:d>
      </m:oMath>
      <w:r>
        <w:tab/>
        <w:t>(11)</w:t>
      </w:r>
    </w:p>
    <w:p w14:paraId="1BEAAD5F"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1509D6ED"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35870B87"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18D2142F" w14:textId="77777777" w:rsidR="000B782D" w:rsidRDefault="0018275F">
      <w:pPr>
        <w:pStyle w:val="Heading2"/>
        <w:spacing w:after="120"/>
      </w:pPr>
      <w:r>
        <w:t>3.5. Өгөгдлийн товч статистик ба түүврийн тайлбар</w:t>
      </w:r>
    </w:p>
    <w:p w14:paraId="4E5D1641"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642BAAE1" w14:textId="77777777" w:rsidR="000B782D" w:rsidRDefault="0018275F">
      <w:pPr>
        <w:spacing w:before="240" w:after="60" w:line="276" w:lineRule="auto"/>
      </w:pPr>
      <w:r>
        <w:t>Хүснэгт 1  Түүврийн бүрдүүлэлтийн дараалал</w:t>
      </w:r>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 сурвалж</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Анхны өрхийн 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r>
              <w:t>11,350</w:t>
            </w:r>
          </w:p>
        </w:tc>
        <w:tc>
          <w:tcPr>
            <w:tcW w:w="1020" w:type="dxa"/>
            <w:tcBorders>
              <w:top w:val="single" w:sz="4" w:space="0" w:color="000000"/>
              <w:left w:val="single" w:sz="4" w:space="0" w:color="000000"/>
              <w:bottom w:val="single" w:sz="4" w:space="0" w:color="000000"/>
              <w:right w:val="single" w:sz="4" w:space="0" w:color="000000"/>
            </w:tcBorders>
            <w:vAlign w:val="center"/>
          </w:tcPr>
          <w:p>
            <w: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өрхийн бүрэлдэхүүн</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40,779</w:t>
            </w:r>
          </w:p>
        </w:tc>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2020–2024</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3,710</w:t>
            </w:r>
          </w:p>
        </w:tc>
        <w:tc>
          <w:tcPr>
            <w:tcW w:w="1020" w:type="dxa"/>
            <w:tcBorders>
              <w:top w:val="single" w:sz="4" w:space="0" w:color="000000"/>
              <w:left w:val="single" w:sz="4" w:space="0" w:color="000000"/>
              <w:bottom w:val="single" w:sz="4" w:space="0" w:color="000000"/>
              <w:right w:val="single" w:sz="4" w:space="0" w:color="000000"/>
            </w:tcBorders>
            <w:vAlign w:val="center"/>
          </w:tcPr>
          <w:p>
            <w: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шалгалт</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түүврээс 17–18 насны сургуулийн орчны 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r>
              <w:t>3,188</w:t>
            </w:r>
          </w:p>
        </w:tc>
        <w:tc>
          <w:tcPr>
            <w:tcW w:w="1020" w:type="dxa"/>
            <w:tcBorders>
              <w:top w:val="single" w:sz="4" w:space="0" w:color="000000"/>
              <w:left w:val="single" w:sz="4" w:space="0" w:color="000000"/>
              <w:bottom w:val="single" w:sz="4" w:space="0" w:color="000000"/>
              <w:right w:val="single" w:sz="4" w:space="0" w:color="000000"/>
            </w:tcBorders>
            <w:vAlign w:val="center"/>
          </w:tcPr>
          <w:p>
            <w: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bl>
    <w:p w14:paraId="13E92A40" w14:textId="77777777" w:rsidR="000B782D" w:rsidRDefault="0018275F">
      <w:pPr>
        <w:spacing w:before="60" w:after="240" w:line="276" w:lineRule="auto"/>
        <w:jc w:val="right"/>
      </w:pPr>
      <w:r>
        <w:t>Эх сурвалж: Оюутны тооцоолол</w:t>
      </w:r>
    </w:p>
    <w:p w14:paraId="7306A201" w14:textId="14C1367B"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5353CCD2" w14:textId="50E580B6" w:rsidR="00371247" w:rsidRDefault="00371247">
      <w:pPr>
        <w:ind w:firstLine="567"/>
        <w:jc w:val="both"/>
      </w:pPr>
      <w:r/>
    </w:p>
    <w:p w14:paraId="0F879997" w14:textId="53632226" w:rsidR="00371247" w:rsidRDefault="00371247">
      <w:pPr>
        <w:ind w:firstLine="567"/>
        <w:jc w:val="both"/>
      </w:pPr>
      <w:r/>
    </w:p>
    <w:p w14:paraId="1D21F65B" w14:textId="45B87D0A" w:rsidR="00371247" w:rsidRDefault="00371247">
      <w:pPr>
        <w:ind w:firstLine="567"/>
        <w:jc w:val="both"/>
      </w:pPr>
      <w:r/>
    </w:p>
    <w:p w14:paraId="51A1C8B1" w14:textId="55BD90CB" w:rsidR="00371247" w:rsidRDefault="00371247">
      <w:pPr>
        <w:ind w:firstLine="567"/>
        <w:jc w:val="both"/>
      </w:pPr>
      <w:r/>
    </w:p>
    <w:p w14:paraId="6468961C" w14:textId="77777777" w:rsidR="00371247" w:rsidRDefault="00371247">
      <w:pPr>
        <w:ind w:firstLine="567"/>
        <w:jc w:val="both"/>
      </w:pPr>
      <w:r/>
    </w:p>
    <w:p w14:paraId="6081E883" w14:textId="77777777" w:rsidR="000B782D" w:rsidRDefault="0018275F">
      <w:pPr>
        <w:spacing w:before="240" w:after="60" w:line="276" w:lineRule="auto"/>
      </w:pPr>
      <w:r>
        <w:t>Хүснэгт 2  Үндсэн хувьсагчдын тодорхойлолт</w:t>
      </w:r>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Төрөл</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r>
              <w:t>ln(wage)</w:t>
            </w:r>
          </w:p>
        </w:tc>
        <w:tc>
          <w:tcPr>
            <w:tcW w:w="1417" w:type="dxa"/>
            <w:tcBorders>
              <w:top w:val="single" w:sz="4" w:space="0" w:color="000000"/>
              <w:left w:val="single" w:sz="4" w:space="0" w:color="000000"/>
              <w:bottom w:val="single" w:sz="4" w:space="0" w:color="000000"/>
              <w:right w:val="single" w:sz="4" w:space="0" w:color="000000"/>
            </w:tcBorders>
            <w:vAlign w:val="center"/>
          </w:tcPr>
          <w:p>
            <w:r>
              <w:t>Сарын 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r>
              <w:t>Үр дүн</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r>
              <w:t>educ</w:t>
            </w:r>
          </w:p>
        </w:tc>
        <w:tc>
          <w:tcPr>
            <w:tcW w:w="1417" w:type="dxa"/>
            <w:tcBorders>
              <w:top w:val="single" w:sz="4" w:space="0" w:color="000000"/>
              <w:left w:val="single" w:sz="4" w:space="0" w:color="000000"/>
              <w:bottom w:val="single" w:sz="4" w:space="0" w:color="000000"/>
              <w:right w:val="single" w:sz="4" w:space="0" w:color="000000"/>
            </w:tcBorders>
            <w:vAlign w:val="center"/>
          </w:tcPr>
          <w:p>
            <w: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r>
              <w:t>ЭХБК-д 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r>
              <w:t>Тайлбарлагч</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r>
              <w:t>PE</w:t>
            </w:r>
          </w:p>
        </w:tc>
        <w:tc>
          <w:tcPr>
            <w:tcW w:w="1417" w:type="dxa"/>
            <w:tcBorders>
              <w:top w:val="single" w:sz="4" w:space="0" w:color="000000"/>
              <w:left w:val="single" w:sz="4" w:space="0" w:color="000000"/>
              <w:bottom w:val="single" w:sz="4" w:space="0" w:color="000000"/>
              <w:right w:val="single" w:sz="4" w:space="0" w:color="000000"/>
            </w:tcBorders>
            <w:vAlign w:val="center"/>
          </w:tcPr>
          <w:p>
            <w: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r>
              <w:t>q</w:t>
            </w:r>
          </w:p>
        </w:tc>
        <w:tc>
          <w:tcPr>
            <w:tcW w:w="1417" w:type="dxa"/>
            <w:tcBorders>
              <w:top w:val="single" w:sz="4" w:space="0" w:color="000000"/>
              <w:left w:val="single" w:sz="4" w:space="0" w:color="000000"/>
              <w:bottom w:val="single" w:sz="4" w:space="0" w:color="000000"/>
              <w:right w:val="single" w:sz="4" w:space="0" w:color="000000"/>
            </w:tcBorders>
            <w:vAlign w:val="center"/>
          </w:tcPr>
          <w:p>
            <w: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Өндөр утга нь сургуулийн орчны ачаалал өндөр 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r>
              <w:t>Босго</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r>
              <w:t>X</w:t>
            </w:r>
          </w:p>
        </w:tc>
        <w:tc>
          <w:tcPr>
            <w:tcW w:w="1417" w:type="dxa"/>
            <w:tcBorders>
              <w:top w:val="single" w:sz="4" w:space="0" w:color="000000"/>
              <w:left w:val="single" w:sz="4" w:space="0" w:color="000000"/>
              <w:bottom w:val="single" w:sz="4" w:space="0" w:color="000000"/>
              <w:right w:val="single" w:sz="4" w:space="0" w:color="000000"/>
            </w:tcBorders>
            <w:vAlign w:val="center"/>
          </w:tcPr>
          <w:p>
            <w:r>
              <w:t>Нас, 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r>
              <w:t>Хяналт</w:t>
            </w:r>
          </w:p>
        </w:tc>
      </w:tr>
      <w:tr>
        <w:tc>
          <w:tcPr>
            <w:tcW w:type="dxa" w:w="1020"/>
          </w:tcPr>
          <w:p>
            <w:r>
              <w:t>Тогтмол нөлөө</w:t>
            </w:r>
          </w:p>
        </w:tc>
        <w:tc>
          <w:tcPr>
            <w:tcW w:type="dxa" w:w="1020"/>
          </w:tcPr>
          <w:p>
            <w:r>
              <w:t>FE</w:t>
            </w:r>
          </w:p>
        </w:tc>
        <w:tc>
          <w:tcPr>
            <w:tcW w:type="dxa" w:w="1417"/>
          </w:tcPr>
          <w:p>
            <w:r>
              <w:t>Төрсөн аймаг, төрсөн үеийн бүлэг, судалгааны давалгаа</w:t>
            </w:r>
          </w:p>
        </w:tc>
        <w:tc>
          <w:tcPr>
            <w:tcW w:type="dxa" w:w="1417"/>
          </w:tcPr>
          <w:p>
            <w:r>
              <w:t>Үлдэгдэлжүүлэлт ба хяналт</w:t>
            </w:r>
          </w:p>
        </w:tc>
        <w:tc>
          <w:tcPr>
            <w:tcW w:type="dxa" w:w="1417"/>
          </w:tcPr>
          <w:p>
            <w:r>
              <w:t>ХШХБК, ХХБР</w:t>
            </w:r>
          </w:p>
        </w:tc>
        <w:tc>
          <w:tcPr>
            <w:tcW w:type="dxa" w:w="964"/>
          </w:tcPr>
          <w:p>
            <w:r>
              <w:t>Орон нутаг, үе, давалгааны тогтмол ялгааг хянана</w:t>
            </w:r>
          </w:p>
        </w:tc>
        <w:tc>
          <w:tcPr>
            <w:tcW w:type="dxa" w:w="964"/>
          </w:tcPr>
          <w:p>
            <w:r>
              <w:t>Тогтмол нөлөө</w:t>
            </w:r>
          </w:p>
        </w:tc>
      </w:tr>
      <w:tr>
        <w:tc>
          <w:tcPr>
            <w:tcW w:type="dxa" w:w="1020"/>
          </w:tcPr>
          <w:p>
            <w:r>
              <w:t>Түүврийн жин</w:t>
            </w:r>
          </w:p>
        </w:tc>
        <w:tc>
          <w:tcPr>
            <w:tcW w:type="dxa" w:w="1020"/>
          </w:tcPr>
          <w:p>
            <w:r>
              <w:t>h</w:t>
            </w:r>
          </w:p>
        </w:tc>
        <w:tc>
          <w:tcPr>
            <w:tcW w:type="dxa" w:w="1417"/>
          </w:tcPr>
          <w:p>
            <w:r>
              <w:t>ӨНЭЗС-ийн өрхийн түүврийн жин</w:t>
            </w:r>
          </w:p>
        </w:tc>
        <w:tc>
          <w:tcPr>
            <w:tcW w:type="dxa" w:w="1417"/>
          </w:tcPr>
          <w:p>
            <w:r>
              <w:t>Жинлэлт</w:t>
            </w:r>
          </w:p>
        </w:tc>
        <w:tc>
          <w:tcPr>
            <w:tcW w:type="dxa" w:w="1417"/>
          </w:tcPr>
          <w:p>
            <w:r>
              <w:t>Бүх үндсэн загвар</w:t>
            </w:r>
          </w:p>
        </w:tc>
        <w:tc>
          <w:tcPr>
            <w:tcW w:type="dxa" w:w="964"/>
          </w:tcPr>
          <w:p>
            <w:r>
              <w:t>Түүврийн төлөөлөх чадварыг хадгална</w:t>
            </w:r>
          </w:p>
        </w:tc>
        <w:tc>
          <w:tcPr>
            <w:tcW w:type="dxa" w:w="964"/>
          </w:tcPr>
          <w:p>
            <w:r>
              <w:t>Жин</w:t>
            </w:r>
          </w:p>
        </w:tc>
      </w:tr>
    </w:tbl>
    <w:p w14:paraId="07D22EA5" w14:textId="77777777" w:rsidR="000B782D" w:rsidRDefault="0018275F">
      <w:pPr>
        <w:spacing w:before="60" w:after="240" w:line="276" w:lineRule="auto"/>
        <w:jc w:val="right"/>
      </w:pPr>
      <w:r>
        <w:t>Эх сурвалж: Оюутны тооцоолол</w:t>
      </w:r>
    </w:p>
    <w:p w14:paraId="255411A9"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25365032" w14:textId="77777777" w:rsidR="00313831" w:rsidRDefault="00F44A9E">
      <w:r/>
    </w:p>
    <w:p w14:paraId="2FAF52CD"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740844A2"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7C3DE399" w14:textId="77777777" w:rsidR="00972FBE" w:rsidRDefault="00972FBE">
      <w:r/>
    </w:p>
    <w:p w14:paraId="6D516262" w14:textId="77777777" w:rsidR="000B782D" w:rsidRDefault="0018275F">
      <w:pPr>
        <w:spacing w:before="60" w:after="240" w:line="276" w:lineRule="auto"/>
        <w:jc w:val="right"/>
      </w:pPr>
      <w:r/>
    </w:p>
    <w:p w14:paraId="663848E7" w14:textId="77777777" w:rsidR="000B782D" w:rsidRDefault="0018275F">
      <w:pPr>
        <w:spacing w:before="60" w:after="60" w:line="276" w:lineRule="auto"/>
      </w:pPr>
      <w:r/>
    </w:p>
    <w:p w14:paraId="1851B723" w14:textId="77777777" w:rsidR="00313831" w:rsidRDefault="00F44A9E">
      <w:r/>
    </w:p>
    <w:p w14:paraId="11EB7ECD" w14:textId="77777777" w:rsidR="000B782D" w:rsidRDefault="0018275F">
      <w:pPr>
        <w:ind w:firstLine="567"/>
        <w:jc w:val="both"/>
      </w:pPr>
      <w:r/>
    </w:p>
    <w:p w14:paraId="126C4416" w14:textId="77777777" w:rsidR="000B782D" w:rsidRDefault="0018275F">
      <w:pPr>
        <w:spacing w:before="60" w:after="240" w:line="276" w:lineRule="auto"/>
        <w:jc w:val="right"/>
      </w:pPr>
      <w:r/>
    </w:p>
    <w:p w14:paraId="5E7CA9A7" w14:textId="77777777" w:rsidR="000B782D" w:rsidRDefault="0018275F">
      <w:r>
        <w:br w:type="page"/>
      </w:r>
    </w:p>
    <w:p w14:paraId="6F854534" w14:textId="77777777" w:rsidR="000B782D" w:rsidRDefault="0018275F">
      <w:pPr>
        <w:pStyle w:val="Heading1"/>
        <w:spacing w:after="240"/>
      </w:pPr>
      <w:r>
        <w:t>IV БҮЛЭГ. ШИНЖИЛГЭЭНИЙ ҮР ДҮН</w:t>
      </w:r>
    </w:p>
    <w:p w14:paraId="66BCDE6A" w14:textId="77777777" w:rsidR="00972FBE" w:rsidRDefault="00D33DC4">
      <w:pPr/>
      <w:r>
        <w:t>Энэ бүлэгт боловсролын цалингийн өгөөжийг гурван түвшинд үнэлсэн үр дүнг танилцуулна. Нэгдүгээрт, эцсийн ХХБР түүвэр дээрх ЭХБК ба ХШХБК үнэлгээг харьцуулж, боловсролын эндоген сонголтыг засахад өгөөжийн хэмжээ хэрхэн өөрчлөгдөж байгааг харуулна. Хоёрдугаарт, эцэг, эхийн боловсролын дундаж хэрэгсэл хувьсагчийн эхний шатны хүчийг шалгана. Гуравдугаарт, 17–18 насны сурагч-багшийн дундаж харьцаагаар тодорхойлогдох босгоны сүлжээн хайлт, регим тус бүрийн боловсролын өгөөж, бүүтстрап дахин түүвэрлэлтийн үр дүнг нэгтгэн тайлбарлана.</w:t>
      </w:r>
    </w:p>
    <w:p w14:paraId="76AD7287" w14:textId="77777777" w:rsidR="000B782D" w:rsidRDefault="0018275F">
      <w:pPr>
        <w:pStyle w:val="Heading2"/>
        <w:spacing w:after="120"/>
      </w:pPr>
      <w:r>
        <w:t>4.1. ЭХБК ба ХШХБК үнэлгээний суурь үр дүн</w:t>
      </w:r>
    </w:p>
    <w:p w14:paraId="770FA611" w14:textId="77777777" w:rsidR="000B782D" w:rsidRDefault="0018275F">
      <w:pPr>
        <w:ind w:firstLine="567"/>
      </w:pPr>
      <w:r>
        <w:t>Эцсийн ХХБР түүвэр 3,188 ажиглалтаас бүрдэнэ. Энэ түүвэр дээр боловсролын нэг жилийн өгөөжийг ЭХБК аргаар эхлэн үнэлэхэд коэффициент 0.0472 гарч, экспоненциал хувиргалтаар ойролцоогоор 4.8 хувийн цалингийн өгөөжтэй байна. Харин эцэг, эхийн боловсролын дундажийг хэрэгсэл хувьсагчаар ашигласан ХШХБК үнэлгээнд боловсролын коэффициент 0.1033 болж өссөн бөгөөд энэ нь ойролцоогоор 10.9 хувийн өгөөжтэй тэнцэнэ.</w:t>
      </w:r>
    </w:p>
    <w:p w14:paraId="2E62D24A" w14:textId="77777777" w:rsidR="000B782D" w:rsidRDefault="0018275F">
      <w:pPr>
        <w:spacing w:before="240" w:after="60" w:line="276" w:lineRule="auto"/>
      </w:pPr>
      <w:r>
        <w:t>Хүснэгт 3  ЭХБК ба ХШХБК үнэлгээний харьцуулалт</w:t>
      </w:r>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Ажиглалтын тоо</w:t>
            </w:r>
          </w:p>
        </w:tc>
        <w:tc>
          <w:tcPr>
            <w:tcW w:w="1871" w:type="dxa"/>
            <w:tcBorders>
              <w:top w:val="single" w:sz="4" w:space="0" w:color="000000"/>
              <w:left w:val="single" w:sz="4" w:space="0" w:color="000000"/>
              <w:bottom w:val="single" w:sz="4" w:space="0" w:color="000000"/>
              <w:right w:val="single" w:sz="4" w:space="0" w:color="000000"/>
            </w:tcBorders>
            <w:vAlign w:val="center"/>
          </w:tcPr>
          <w:p>
            <w:r>
              <w:t>3,188</w:t>
            </w:r>
          </w:p>
        </w:tc>
        <w:tc>
          <w:tcPr>
            <w:tcW w:w="1871" w:type="dxa"/>
            <w:tcBorders>
              <w:top w:val="single" w:sz="4" w:space="0" w:color="000000"/>
              <w:left w:val="single" w:sz="4" w:space="0" w:color="000000"/>
              <w:bottom w:val="single" w:sz="4" w:space="0" w:color="000000"/>
              <w:right w:val="single" w:sz="4" w:space="0" w:color="000000"/>
            </w:tcBorders>
            <w:vAlign w:val="center"/>
          </w:tcPr>
          <w:p>
            <w:r>
              <w:t>3,188</w:t>
            </w:r>
          </w:p>
        </w:tc>
        <w:tc>
          <w:tcPr>
            <w:tcW w:w="1871"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vAlign w:val="center"/>
          </w:tcPr>
          <w:p>
            <w:r>
              <w:t>0.0472***</w:t>
            </w:r>
          </w:p>
        </w:tc>
        <w:tc>
          <w:tcPr>
            <w:tcW w:w="1871" w:type="dxa"/>
            <w:tcBorders>
              <w:top w:val="single" w:sz="4" w:space="0" w:color="000000"/>
              <w:left w:val="single" w:sz="4" w:space="0" w:color="000000"/>
              <w:bottom w:val="single" w:sz="4" w:space="0" w:color="000000"/>
              <w:right w:val="single" w:sz="4" w:space="0" w:color="000000"/>
            </w:tcBorders>
            <w:vAlign w:val="center"/>
          </w:tcPr>
          <w:p>
            <w:r>
              <w:t>0.1033***</w:t>
            </w:r>
          </w:p>
        </w:tc>
        <w:tc>
          <w:tcPr>
            <w:tcW w:w="1871" w:type="dxa"/>
            <w:tcBorders>
              <w:top w:val="single" w:sz="4" w:space="0" w:color="000000"/>
              <w:left w:val="single" w:sz="4" w:space="0" w:color="000000"/>
              <w:bottom w:val="single" w:sz="4" w:space="0" w:color="000000"/>
              <w:right w:val="single" w:sz="4" w:space="0" w:color="000000"/>
            </w:tcBorders>
            <w:vAlign w:val="center"/>
          </w:tcPr>
          <w:p>
            <w:r>
              <w:t>Боловсролын нэмэлт нэг жил</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Стандарт алдаа</w:t>
            </w:r>
          </w:p>
        </w:tc>
        <w:tc>
          <w:tcPr>
            <w:tcW w:w="1871" w:type="dxa"/>
            <w:tcBorders>
              <w:top w:val="single" w:sz="4" w:space="0" w:color="000000"/>
              <w:left w:val="single" w:sz="4" w:space="0" w:color="000000"/>
              <w:bottom w:val="single" w:sz="4" w:space="0" w:color="000000"/>
              <w:right w:val="single" w:sz="4" w:space="0" w:color="000000"/>
            </w:tcBorders>
            <w:vAlign w:val="center"/>
          </w:tcPr>
          <w:p>
            <w:r>
              <w:t>(0.0034)</w:t>
            </w:r>
          </w:p>
        </w:tc>
        <w:tc>
          <w:tcPr>
            <w:tcW w:w="1871" w:type="dxa"/>
            <w:tcBorders>
              <w:top w:val="single" w:sz="4" w:space="0" w:color="000000"/>
              <w:left w:val="single" w:sz="4" w:space="0" w:color="000000"/>
              <w:bottom w:val="single" w:sz="4" w:space="0" w:color="000000"/>
              <w:right w:val="single" w:sz="4" w:space="0" w:color="000000"/>
            </w:tcBorders>
            <w:vAlign w:val="center"/>
          </w:tcPr>
          <w:p>
            <w:r>
              <w:t>(0.0118)</w:t>
            </w:r>
          </w:p>
        </w:tc>
        <w:tc>
          <w:tcPr>
            <w:tcW w:w="1871" w:type="dxa"/>
            <w:tcBorders>
              <w:top w:val="single" w:sz="4" w:space="0" w:color="000000"/>
              <w:left w:val="single" w:sz="4" w:space="0" w:color="000000"/>
              <w:bottom w:val="single" w:sz="4" w:space="0" w:color="000000"/>
              <w:right w:val="single" w:sz="4" w:space="0" w:color="000000"/>
            </w:tcBorders>
            <w:vAlign w:val="center"/>
          </w:tcPr>
          <w:p>
            <w:r>
              <w:t>Төрсөн аймгаар кластерласан</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p-утга</w:t>
            </w:r>
          </w:p>
        </w:tc>
        <w:tc>
          <w:tcPr>
            <w:tcW w:w="1871" w:type="dxa"/>
            <w:tcBorders>
              <w:top w:val="single" w:sz="4" w:space="0" w:color="000000"/>
              <w:left w:val="single" w:sz="4" w:space="0" w:color="000000"/>
              <w:bottom w:val="single" w:sz="4" w:space="0" w:color="000000"/>
              <w:right w:val="single" w:sz="4" w:space="0" w:color="000000"/>
            </w:tcBorders>
            <w:vAlign w:val="center"/>
          </w:tcPr>
          <w:p>
            <w:r>
              <w:t>&lt;0.001</w:t>
            </w:r>
          </w:p>
        </w:tc>
        <w:tc>
          <w:tcPr>
            <w:tcW w:w="1871" w:type="dxa"/>
            <w:tcBorders>
              <w:top w:val="single" w:sz="4" w:space="0" w:color="000000"/>
              <w:left w:val="single" w:sz="4" w:space="0" w:color="000000"/>
              <w:bottom w:val="single" w:sz="4" w:space="0" w:color="000000"/>
              <w:right w:val="single" w:sz="4" w:space="0" w:color="000000"/>
            </w:tcBorders>
            <w:vAlign w:val="center"/>
          </w:tcPr>
          <w:p>
            <w:r>
              <w:t>&lt;0.001</w:t>
            </w:r>
          </w:p>
        </w:tc>
        <w:tc>
          <w:tcPr>
            <w:tcW w:w="1871" w:type="dxa"/>
            <w:tcBorders>
              <w:top w:val="single" w:sz="4" w:space="0" w:color="000000"/>
              <w:left w:val="single" w:sz="4" w:space="0" w:color="000000"/>
              <w:bottom w:val="single" w:sz="4" w:space="0" w:color="000000"/>
              <w:right w:val="single" w:sz="4" w:space="0" w:color="000000"/>
            </w:tcBorders>
            <w:vAlign w:val="center"/>
          </w:tcPr>
          <w:p>
            <w:r>
              <w:t>Статистикийн ач холбогдолтой</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Жилийн өгөөж</w:t>
            </w:r>
          </w:p>
        </w:tc>
        <w:tc>
          <w:tcPr>
            <w:tcW w:w="1871" w:type="dxa"/>
            <w:tcBorders>
              <w:top w:val="single" w:sz="4" w:space="0" w:color="000000"/>
              <w:left w:val="single" w:sz="4" w:space="0" w:color="000000"/>
              <w:bottom w:val="single" w:sz="4" w:space="0" w:color="000000"/>
              <w:right w:val="single" w:sz="4" w:space="0" w:color="000000"/>
            </w:tcBorders>
            <w:vAlign w:val="center"/>
          </w:tcPr>
          <w:p>
            <w:r>
              <w:t>4.8%</w:t>
            </w:r>
          </w:p>
        </w:tc>
        <w:tc>
          <w:tcPr>
            <w:tcW w:w="1871" w:type="dxa"/>
            <w:tcBorders>
              <w:top w:val="single" w:sz="4" w:space="0" w:color="000000"/>
              <w:left w:val="single" w:sz="4" w:space="0" w:color="000000"/>
              <w:bottom w:val="single" w:sz="4" w:space="0" w:color="000000"/>
              <w:right w:val="single" w:sz="4" w:space="0" w:color="000000"/>
            </w:tcBorders>
            <w:vAlign w:val="center"/>
          </w:tcPr>
          <w:p>
            <w:r>
              <w:t>10.9%</w:t>
            </w:r>
          </w:p>
        </w:tc>
        <w:tc>
          <w:tcPr>
            <w:tcW w:w="1871" w:type="dxa"/>
            <w:tcBorders>
              <w:top w:val="single" w:sz="4" w:space="0" w:color="000000"/>
              <w:left w:val="single" w:sz="4" w:space="0" w:color="000000"/>
              <w:bottom w:val="single" w:sz="4" w:space="0" w:color="000000"/>
              <w:right w:val="single" w:sz="4" w:space="0" w:color="000000"/>
            </w:tcBorders>
            <w:vAlign w:val="center"/>
          </w:tcPr>
          <w:p>
            <w:r>
              <w:t>Экспоненциал хувиргалтаар</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871" w:type="dxa"/>
            <w:tcBorders>
              <w:top w:val="single" w:sz="4" w:space="0" w:color="000000"/>
              <w:left w:val="single" w:sz="4" w:space="0" w:color="000000"/>
              <w:bottom w:val="single" w:sz="4" w:space="0" w:color="000000"/>
              <w:right w:val="single" w:sz="4" w:space="0" w:color="000000"/>
            </w:tcBorders>
            <w:vAlign w:val="center"/>
          </w:tcPr>
          <w:p>
            <w:r>
              <w:t>Ашиглаагүй</w:t>
            </w:r>
          </w:p>
        </w:tc>
        <w:tc>
          <w:tcPr>
            <w:tcW w:w="1871"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vAlign w:val="center"/>
          </w:tcPr>
          <w:p>
            <w:r>
              <w:t>ХШХБК-д ашигласан</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Тогтмол нөлөө</w:t>
            </w:r>
          </w:p>
        </w:tc>
        <w:tc>
          <w:tcPr>
            <w:tcW w:w="1871" w:type="dxa"/>
            <w:tcBorders>
              <w:top w:val="single" w:sz="4" w:space="0" w:color="000000"/>
              <w:left w:val="single" w:sz="4" w:space="0" w:color="000000"/>
              <w:bottom w:val="single" w:sz="4" w:space="0" w:color="000000"/>
              <w:right w:val="single" w:sz="4" w:space="0" w:color="000000"/>
            </w:tcBorders>
            <w:vAlign w:val="center"/>
          </w:tcPr>
          <w:p>
            <w: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r>
              <w:t>Төрсөн аймаг, төрсөн үе, давалгаа</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Өрхийн түүврийн жин</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Дүгнэлт</w:t>
            </w:r>
          </w:p>
        </w:tc>
        <w:tc>
          <w:tcPr>
            <w:tcW w:w="1871" w:type="dxa"/>
            <w:tcBorders>
              <w:top w:val="single" w:sz="4" w:space="0" w:color="000000"/>
              <w:left w:val="single" w:sz="4" w:space="0" w:color="000000"/>
              <w:bottom w:val="single" w:sz="4" w:space="0" w:color="000000"/>
              <w:right w:val="single" w:sz="4" w:space="0" w:color="000000"/>
            </w:tcBorders>
            <w:vAlign w:val="center"/>
          </w:tcPr>
          <w:p>
            <w:r>
              <w:t>Суурь холбоо</w:t>
            </w:r>
          </w:p>
        </w:tc>
        <w:tc>
          <w:tcPr>
            <w:tcW w:w="1871" w:type="dxa"/>
            <w:tcBorders>
              <w:top w:val="single" w:sz="4" w:space="0" w:color="000000"/>
              <w:left w:val="single" w:sz="4" w:space="0" w:color="000000"/>
              <w:bottom w:val="single" w:sz="4" w:space="0" w:color="000000"/>
              <w:right w:val="single" w:sz="4" w:space="0" w:color="000000"/>
            </w:tcBorders>
            <w:vAlign w:val="center"/>
          </w:tcPr>
          <w:p>
            <w:r>
              <w:t>Эндоген хазайлтыг зассан үнэлгээ</w:t>
            </w:r>
          </w:p>
        </w:tc>
        <w:tc>
          <w:tcPr>
            <w:tcW w:w="1871" w:type="dxa"/>
            <w:tcBorders>
              <w:top w:val="single" w:sz="4" w:space="0" w:color="000000"/>
              <w:left w:val="single" w:sz="4" w:space="0" w:color="000000"/>
              <w:bottom w:val="single" w:sz="4" w:space="0" w:color="000000"/>
              <w:right w:val="single" w:sz="4" w:space="0" w:color="000000"/>
            </w:tcBorders>
            <w:vAlign w:val="center"/>
          </w:tcPr>
          <w:p>
            <w:r>
              <w:t>Үндсэн харьцуулалт</w:t>
            </w:r>
          </w:p>
        </w:tc>
      </w:tr>
    </w:tbl>
    <w:p w14:paraId="1FA3F210" w14:textId="77777777" w:rsidR="000B782D" w:rsidRDefault="0018275F">
      <w:pPr>
        <w:spacing w:before="60" w:after="0" w:line="264" w:lineRule="auto"/>
      </w:pPr>
      <w:r>
        <w:t>Тэмдэглэл: Хаалтан дотор төрсөн аймгийн түвшинд кластерласан стандарт алдааг харуулав. Өгөөжийг 100[exp(β)−1] хувиргалтаар тооцсон. ***p&lt;0.01.</w:t>
      </w:r>
    </w:p>
    <w:p w14:paraId="6F8A12A5" w14:textId="77777777" w:rsidR="000B782D" w:rsidRDefault="0018275F">
      <w:pPr>
        <w:spacing w:before="60" w:after="240" w:line="276" w:lineRule="auto"/>
      </w:pPr>
      <w:r>
        <w:t>Эх сурвалж: Оюутны тооцоолол</w:t>
      </w:r>
    </w:p>
    <w:p w14:paraId="1EFA450C" w14:textId="77777777" w:rsidR="000B782D" w:rsidRDefault="0018275F">
      <w:pPr>
        <w:ind w:firstLine="567"/>
      </w:pPr>
      <w:r>
        <w:t>Зураг 3  ЭХБК ба ХШХБК үнэлгээний харьцуулалт</w:t>
      </w:r>
    </w:p>
    <w:p w14:paraId="02378FA4" w14:textId="77777777" w:rsidR="000B782D" w:rsidRDefault="0018275F">
      <w:pPr>
        <w:spacing w:after="120"/>
        <w:jc w:val="center"/>
      </w:pPr>
      <w:r>
        <w:drawing>
          <wp:inline xmlns:a="http://schemas.openxmlformats.org/drawingml/2006/main" xmlns:pic="http://schemas.openxmlformats.org/drawingml/2006/picture">
            <wp:extent cx="5303520" cy="3756660"/>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3756660"/>
                    </a:xfrm>
                    <a:prstGeom prst="rect"/>
                  </pic:spPr>
                </pic:pic>
              </a:graphicData>
            </a:graphic>
          </wp:inline>
        </w:drawing>
      </w:r>
    </w:p>
    <w:p w14:paraId="288E357C" w14:textId="77777777" w:rsidR="000B782D" w:rsidRDefault="0018275F">
      <w:pPr>
        <w:ind w:firstLine="567"/>
      </w:pPr>
      <w:r>
        <w:t>Зураг 3-аас харахад хэрэгсэл хувьсагчтай үнэлгээ нь ЭХБК-ийн суурь холбооноос хоёр дахин өндөр байна. Энэ ялгаа нь боловсролын жилийн хувьсагч санамсаргүй бус сонгогддог, мөн хэмжилтийн алдаа болон гэр бүлийн суурь нөхцөл боловсролын коэффициентийг хазайлгах боломжтойг харуулна. Иймээс дараагийн босго шинжилгээнд боловсролыг эндоген тайлбарлагч гэж үзэж, хэрэгсэл хувьсагчтай үнэлгээг хадгалсан.</w:t>
      </w:r>
    </w:p>
    <w:p w14:paraId="72A6A4A5" w14:textId="77777777" w:rsidR="000B782D" w:rsidRDefault="0018275F">
      <w:pPr>
        <w:pStyle w:val="Heading2"/>
        <w:spacing w:before="240" w:after="60" w:line="276" w:lineRule="auto"/>
      </w:pPr>
      <w:r>
        <w:t>4.2. Эхний шат ба хэрэгсэл хувьсагчийн хүч</w:t>
      </w:r>
    </w:p>
    <w:p w14:paraId="0B04BC8E" w14:textId="77777777" w:rsidR="000B782D" w:rsidRDefault="0018275F">
      <w:pPr>
        <w:spacing w:before="60" w:after="0" w:line="264" w:lineRule="auto"/>
      </w:pPr>
      <w: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нь сул хэрэгсэл хувьсагчийн уламжлалт босго болох 10-аас үлэмж өндөр тул хамаарлын нөхцөл хангагдсан гэж үзэх үндэслэлтэй.</w:t>
      </w:r>
    </w:p>
    <w:p w14:paraId="4FC23AD9" w14:textId="77777777" w:rsidR="000B782D" w:rsidRDefault="0018275F">
      <w:pPr>
        <w:spacing w:before="60" w:after="240" w:line="276" w:lineRule="auto"/>
      </w:pPr>
      <w:r>
        <w:t>Хүснэгт 4  Эцэг, эхийн боловсролын дундажийн эхний шатны шалгалт</w:t>
      </w:r>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r>
              <w:t>t/F</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vAlign w:val="center"/>
          </w:tcPr>
          <w:p>
            <w:r>
              <w:t>0.3623</w:t>
            </w:r>
          </w:p>
        </w:tc>
        <w:tc>
          <w:tcPr>
            <w:tcW w:w="1474" w:type="dxa"/>
            <w:tcBorders>
              <w:top w:val="single" w:sz="4" w:space="0" w:color="000000"/>
              <w:left w:val="single" w:sz="4" w:space="0" w:color="000000"/>
              <w:bottom w:val="single" w:sz="4" w:space="0" w:color="000000"/>
              <w:right w:val="single" w:sz="4" w:space="0" w:color="000000"/>
            </w:tcBorders>
            <w:vAlign w:val="center"/>
          </w:tcPr>
          <w:p>
            <w:r>
              <w:t>0.0153</w:t>
            </w:r>
          </w:p>
        </w:tc>
        <w:tc>
          <w:tcPr>
            <w:tcW w:w="1361" w:type="dxa"/>
            <w:tcBorders>
              <w:top w:val="single" w:sz="4" w:space="0" w:color="000000"/>
              <w:left w:val="single" w:sz="4" w:space="0" w:color="000000"/>
              <w:bottom w:val="single" w:sz="4" w:space="0" w:color="000000"/>
              <w:right w:val="single" w:sz="4" w:space="0" w:color="000000"/>
            </w:tcBorders>
            <w:vAlign w:val="center"/>
          </w:tcPr>
          <w:p>
            <w:r>
              <w:t>t = 23.63</w:t>
            </w:r>
          </w:p>
        </w:tc>
        <w:tc>
          <w:tcPr>
            <w:tcW w:w="1304" w:type="dxa"/>
            <w:tcBorders>
              <w:top w:val="single" w:sz="4" w:space="0" w:color="000000"/>
              <w:left w:val="single" w:sz="4" w:space="0" w:color="000000"/>
              <w:bottom w:val="single" w:sz="4" w:space="0" w:color="000000"/>
              <w:right w:val="single" w:sz="4" w:space="0" w:color="000000"/>
            </w:tcBorders>
            <w:vAlign w:val="center"/>
          </w:tcPr>
          <w:p>
            <w:r>
              <w:t>&lt;0.001</w:t>
            </w:r>
          </w:p>
        </w:tc>
        <w:tc>
          <w:tcPr>
            <w:tcW w:w="1417"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r>
              <w:t>558.45</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F = 558.45</w:t>
            </w:r>
          </w:p>
        </w:tc>
        <w:tc>
          <w:tcPr>
            <w:tcW w:w="1304" w:type="dxa"/>
            <w:tcBorders>
              <w:top w:val="single" w:sz="4" w:space="0" w:color="000000"/>
              <w:left w:val="single" w:sz="4" w:space="0" w:color="000000"/>
              <w:bottom w:val="single" w:sz="4" w:space="0" w:color="000000"/>
              <w:right w:val="single" w:sz="4" w:space="0" w:color="000000"/>
            </w:tcBorders>
            <w:vAlign w:val="center"/>
          </w:tcPr>
          <w:p>
            <w:r>
              <w:t>&lt;0.001</w:t>
            </w:r>
          </w:p>
        </w:tc>
        <w:tc>
          <w:tcPr>
            <w:tcW w:w="1417" w:type="dxa"/>
            <w:tcBorders>
              <w:top w:val="single" w:sz="4" w:space="0" w:color="000000"/>
              <w:left w:val="single" w:sz="4" w:space="0" w:color="000000"/>
              <w:bottom w:val="single" w:sz="4" w:space="0" w:color="000000"/>
              <w:right w:val="single" w:sz="4" w:space="0" w:color="000000"/>
            </w:tcBorders>
            <w:vAlign w:val="center"/>
          </w:tcPr>
          <w:p>
            <w:r>
              <w:t>Сул хэрэгсэл хувьсагч биш</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Ажиглалтын тоо</w:t>
            </w:r>
          </w:p>
        </w:tc>
        <w:tc>
          <w:tcPr>
            <w:tcW w:w="1304" w:type="dxa"/>
            <w:tcBorders>
              <w:top w:val="single" w:sz="4" w:space="0" w:color="000000"/>
              <w:left w:val="single" w:sz="4" w:space="0" w:color="000000"/>
              <w:bottom w:val="single" w:sz="4" w:space="0" w:color="000000"/>
              <w:right w:val="single" w:sz="4" w:space="0" w:color="000000"/>
            </w:tcBorders>
            <w:vAlign w:val="center"/>
          </w:tcPr>
          <w:p>
            <w:r>
              <w:t>3,188</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Сул IV шалгуур</w:t>
            </w:r>
          </w:p>
        </w:tc>
        <w:tc>
          <w:tcPr>
            <w:tcW w:w="1304" w:type="dxa"/>
            <w:tcBorders>
              <w:top w:val="single" w:sz="4" w:space="0" w:color="000000"/>
              <w:left w:val="single" w:sz="4" w:space="0" w:color="000000"/>
              <w:bottom w:val="single" w:sz="4" w:space="0" w:color="000000"/>
              <w:right w:val="single" w:sz="4" w:space="0" w:color="000000"/>
            </w:tcBorders>
            <w:vAlign w:val="center"/>
          </w:tcPr>
          <w:p>
            <w:r>
              <w:t>F &lt; 10 биш</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Weak-IV flag = FALSE</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Кластер</w:t>
            </w:r>
          </w:p>
        </w:tc>
        <w:tc>
          <w:tcPr>
            <w:tcW w:w="1304" w:type="dxa"/>
            <w:tcBorders>
              <w:top w:val="single" w:sz="4" w:space="0" w:color="000000"/>
              <w:left w:val="single" w:sz="4" w:space="0" w:color="000000"/>
              <w:bottom w:val="single" w:sz="4" w:space="0" w:color="000000"/>
              <w:right w:val="single" w:sz="4" w:space="0" w:color="000000"/>
            </w:tcBorders>
            <w:vAlign w:val="center"/>
          </w:tcPr>
          <w:p>
            <w:r>
              <w:t>Төрсөн аймаг</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22 кластер</w:t>
            </w:r>
          </w:p>
        </w:tc>
      </w:tr>
    </w:tbl>
    <w:p w14:paraId="69588538" w14:textId="77777777" w:rsidR="000B782D" w:rsidRDefault="0018275F">
      <w:pPr>
        <w:ind w:firstLine="567"/>
      </w:pPr>
      <w: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03FB9CAD" w14:textId="77777777" w:rsidR="000B782D" w:rsidRDefault="0018275F">
      <w:pPr>
        <w:ind w:firstLine="567"/>
      </w:pPr>
      <w:r>
        <w:t>Эх сурвалж: Оюутны тооцоолол</w:t>
      </w:r>
    </w:p>
    <w:p w14:paraId="66B63877" w14:textId="77777777" w:rsidR="000B782D" w:rsidRDefault="0018275F">
      <w:pPr>
        <w:spacing w:after="120"/>
      </w:pPr>
      <w: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77A12018" w14:textId="77777777" w:rsidR="000B782D" w:rsidRDefault="0018275F">
      <w:pPr>
        <w:pStyle w:val="Heading2"/>
        <w:ind w:firstLine="567"/>
      </w:pPr>
      <w:r>
        <w:t>4.3. Босгоны сүлжээн хайлт</w:t>
      </w:r>
    </w:p>
    <w:p w14:paraId="7B592403" w14:textId="77777777" w:rsidR="000B782D" w:rsidRDefault="0018275F">
      <w:pPr>
        <w:spacing w:before="60" w:after="60" w:line="276" w:lineRule="auto"/>
      </w:pPr>
      <w:r>
        <w:t>ХХБР үнэлгээний дараагийн алхам нь 17–18 насны сурагч-багшийн дундаж харьцааны боломжит босго утгуудыг сүлжээн хайлтаар шалгах явдал юм. Хайлтыг босго хувьсагчийн 15–85 хувийн мужид хязгаарласнаар хоёр регимийн аль нэгэнд хэт цөөн ажиглалт үлдэхээс сэргийлсэн. Нийт 278 боломжит босго шалгагдаж, хамгийн бага нэгтгэн агшаасан алдааны квадратын нийлбэртэй утга 19.53 сурагч/багш дээр тогтов.</w:t>
      </w:r>
    </w:p>
    <w:p w14:paraId="25C78B7D" w14:textId="77777777" w:rsidR="00313831" w:rsidRDefault="00F44A9E">
      <w:pPr/>
      <w:r>
        <w:t>Зураг 4  Босгоны сүлжээн хайлтын үр дүн</w:t>
      </w:r>
    </w:p>
    <w:p w14:paraId="733F12BF" w14:textId="6ACD88F2" w:rsidR="000B782D" w:rsidRDefault="0018275F">
      <w:pPr>
        <w:spacing w:before="60" w:after="240" w:line="276" w:lineRule="auto"/>
        <w:jc w:val="center"/>
        <w:rPr>
          <w:i/>
          <w:sz w:val="20"/>
        </w:rPr>
      </w:pPr>
      <w:r>
        <w:drawing>
          <wp:inline xmlns:a="http://schemas.openxmlformats.org/drawingml/2006/main" xmlns:pic="http://schemas.openxmlformats.org/drawingml/2006/picture">
            <wp:extent cx="5303520" cy="3447288"/>
            <wp:docPr id="34" name="Picture 3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3447288"/>
                    </a:xfrm>
                    <a:prstGeom prst="rect"/>
                  </pic:spPr>
                </pic:pic>
              </a:graphicData>
            </a:graphic>
          </wp:inline>
        </w:drawing>
      </w:r>
    </w:p>
    <w:p w14:paraId="6A0BABD0" w14:textId="2CAE3144" w:rsidR="00371247" w:rsidRDefault="00371247">
      <w:pPr>
        <w:spacing w:before="60" w:after="240" w:line="276" w:lineRule="auto"/>
        <w:rPr>
          <w:i/>
          <w:sz w:val="20"/>
        </w:rPr>
      </w:pPr>
      <w:r>
        <w:t>Эх сурвалж: Оюутны тооцоолол</w:t>
      </w:r>
    </w:p>
    <w:p w14:paraId="31A4D7FE" w14:textId="77777777" w:rsidR="00371247" w:rsidRDefault="00371247">
      <w:pPr>
        <w:spacing w:before="60" w:after="240" w:line="276" w:lineRule="auto"/>
      </w:pPr>
      <w:r>
        <w:t>Зураг 4-т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сургуулийн орчны ачаалал бага регимийг, босгоноос өндөр утга нь сургуулийн орчны ачаалал өндөр регимийг илэрхийлнэ.</w:t>
      </w:r>
    </w:p>
    <w:p w14:paraId="55BF2F82" w14:textId="77777777" w:rsidR="000B782D" w:rsidRDefault="0018275F">
      <w:pPr>
        <w:spacing w:before="240" w:after="60" w:line="276" w:lineRule="auto"/>
      </w:pPr>
      <w:r>
        <w:t>Хүснэгт 5  ХХБР үндсэн үнэлгээний үр дүн</w:t>
      </w:r>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r>
              <w:t>19.53 сурагч/багш</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Pr>
          <w:p>
            <w:r>
              <w:t>1,051</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Pr>
          <w:p>
            <w:r>
              <w:t>2,137</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Pr>
          <w:p>
            <w:r>
              <w:t>0.0784</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r>
              <w:t>0.0191</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Pr>
          <w:p>
            <w:r>
              <w:t>8.2%</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Pr>
          <w:p>
            <w:r>
              <w:t>0.1094</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r>
              <w:t>0.0095</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Pr>
          <w:p>
            <w:r>
              <w:t>11.6%</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vAlign w:val="center"/>
          </w:tcPr>
          <w:p>
            <w:r>
              <w:t>0.0310</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Босгоны үүрэг</w:t>
            </w:r>
          </w:p>
        </w:tc>
        <w:tc>
          <w:tcPr>
            <w:tcW w:w="3402" w:type="dxa"/>
            <w:tcBorders>
              <w:top w:val="single" w:sz="4" w:space="0" w:color="000000"/>
              <w:left w:val="single" w:sz="4" w:space="0" w:color="000000"/>
              <w:bottom w:val="single" w:sz="4" w:space="0" w:color="000000"/>
              <w:right w:val="single" w:sz="4" w:space="0" w:color="000000"/>
            </w:tcBorders>
            <w:vAlign w:val="center"/>
          </w:tcPr>
          <w:p>
            <w:r>
              <w:t>Регим ялгах; хэрэгсэл хувьсагч биш</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Тайлбар</w:t>
            </w:r>
          </w:p>
        </w:tc>
        <w:tc>
          <w:tcPr>
            <w:tcW w:w="3402" w:type="dxa"/>
            <w:tcBorders>
              <w:top w:val="single" w:sz="4" w:space="0" w:color="000000"/>
              <w:left w:val="single" w:sz="4" w:space="0" w:color="000000"/>
              <w:bottom w:val="single" w:sz="4" w:space="0" w:color="000000"/>
              <w:right w:val="single" w:sz="4" w:space="0" w:color="000000"/>
            </w:tcBorders>
            <w:vAlign w:val="center"/>
          </w:tcPr>
          <w:p>
            <w:r>
              <w:t>Сургуулийн орчны ачааллын босго</w:t>
            </w:r>
          </w:p>
        </w:tc>
      </w:tr>
    </w:tbl>
    <w:p w14:paraId="2DCD4FE0" w14:textId="77777777" w:rsidR="000B782D" w:rsidRDefault="0018275F">
      <w:pPr>
        <w:spacing w:before="60" w:after="0" w:line="264" w:lineRule="auto"/>
      </w:pPr>
      <w:r>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387E045D" w14:textId="77777777" w:rsidR="000B782D" w:rsidRDefault="0018275F">
      <w:pPr>
        <w:spacing w:before="60" w:after="240" w:line="276" w:lineRule="auto"/>
      </w:pPr>
      <w:r>
        <w:t>Эх сурвалж: Оюутны тооцоолол</w:t>
      </w:r>
    </w:p>
    <w:p w14:paraId="557A4245" w14:textId="77777777" w:rsidR="000B782D" w:rsidRDefault="0018275F">
      <w:pPr>
        <w:pStyle w:val="Heading2"/>
        <w:spacing w:before="60" w:after="60" w:line="276" w:lineRule="auto"/>
      </w:pPr>
      <w:r>
        <w:t>4.4. Регим тус бүрийн боловсролын өгөөж</w:t>
      </w:r>
    </w:p>
    <w:p w14:paraId="4E4D2CC7" w14:textId="77777777" w:rsidR="00313831" w:rsidRDefault="00F44A9E">
      <w:pPr/>
      <w: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сурагч-багшийн харьцаа өндөр сургуулийн орчинд өссөн ажиллагчдын хувьд боловсролын цалингийн өгөөж 3.1 нэгж хувиар өндөр байна.</w:t>
      </w:r>
    </w:p>
    <w:p w14:paraId="01BBB4B9" w14:textId="77777777" w:rsidR="000B782D" w:rsidRDefault="0018275F">
      <w:pPr>
        <w:ind w:firstLine="567"/>
      </w:pPr>
      <w:r>
        <w:t>Зураг 5  Босгоор ялгасан боловсролын өгөөж</w:t>
      </w:r>
    </w:p>
    <w:p w14:paraId="1910DC4D" w14:textId="77777777" w:rsidR="000B782D" w:rsidRDefault="0018275F">
      <w:pPr>
        <w:spacing w:before="60" w:after="240" w:line="276" w:lineRule="auto"/>
        <w:jc w:val="center"/>
      </w:pPr>
      <w:r>
        <w:drawing>
          <wp:inline xmlns:a="http://schemas.openxmlformats.org/drawingml/2006/main" xmlns:pic="http://schemas.openxmlformats.org/drawingml/2006/picture">
            <wp:extent cx="5303520" cy="3756660"/>
            <wp:docPr id="35" name="Picture 3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3756660"/>
                    </a:xfrm>
                    <a:prstGeom prst="rect"/>
                  </pic:spPr>
                </pic:pic>
              </a:graphicData>
            </a:graphic>
          </wp:inline>
        </w:drawing>
      </w:r>
    </w:p>
    <w:p w14:paraId="36E02734" w14:textId="77777777" w:rsidR="000B782D" w:rsidRDefault="0018275F">
      <w:pPr>
        <w:ind w:firstLine="567"/>
      </w:pPr>
      <w:r>
        <w:t>Эх сурвалж: Оюутны тооцоолол</w:t>
      </w:r>
    </w:p>
    <w:p w14:paraId="504CCD55" w14:textId="77777777" w:rsidR="000B782D" w:rsidRDefault="0018275F">
      <w:pPr>
        <w:ind w:firstLine="567"/>
      </w:pPr>
      <w: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ачааллыг төлөөлөх урьдчилан тогтсон үзүүлэлт бөгөөд боловсролын өгөөжийн налуу өөр өөр байж болох хоёр регимийг ялгаж байна. Иймээс гол олдвор нь “сургуулийн орчны ялгаагаар боловсролын өгөөжийн хэмжээ өөр байна” гэсэн регимийн ялгаанд оршино.</w:t>
      </w:r>
    </w:p>
    <w:p w14:paraId="2D6E0EBF" w14:textId="77777777" w:rsidR="000B782D" w:rsidRDefault="0018275F">
      <w:pPr>
        <w:pStyle w:val="Heading2"/>
        <w:ind w:firstLine="567"/>
      </w:pPr>
      <w:r>
        <w:t>4.5. Бүүтстрап бат бөх байдлын шинжилгээ</w:t>
      </w:r>
    </w:p>
    <w:p w14:paraId="72387932" w14:textId="77777777" w:rsidR="000B782D" w:rsidRDefault="0018275F">
      <w:pPr>
        <w:ind w:firstLine="567"/>
      </w:pPr>
      <w: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 болохыг харуулна.</w:t>
      </w:r>
    </w:p>
    <w:p w14:paraId="7B8E5BC3" w14:textId="5624EA88" w:rsidR="000B782D" w:rsidRDefault="000B782D">
      <w:pPr>
        <w:ind w:firstLine="567"/>
      </w:pPr>
      <w:r>
        <w:t>Зураг 6  Босго утгын бүүтстрап тархалт</w:t>
      </w:r>
    </w:p>
    <w:p w14:paraId="61464064" w14:textId="15D7CE5A" w:rsidR="00371247" w:rsidRDefault="00371247">
      <w:pPr>
        <w:ind w:firstLine="567"/>
        <w:jc w:val="center"/>
      </w:pPr>
      <w:r>
        <w:drawing>
          <wp:inline xmlns:a="http://schemas.openxmlformats.org/drawingml/2006/main" xmlns:pic="http://schemas.openxmlformats.org/drawingml/2006/picture">
            <wp:extent cx="5303520" cy="3447288"/>
            <wp:docPr id="36" name="Picture 3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03520" cy="3447288"/>
                    </a:xfrm>
                    <a:prstGeom prst="rect"/>
                  </pic:spPr>
                </pic:pic>
              </a:graphicData>
            </a:graphic>
          </wp:inline>
        </w:drawing>
      </w:r>
    </w:p>
    <w:p w14:paraId="1313FDA2" w14:textId="77777777" w:rsidR="00371247" w:rsidRDefault="00371247">
      <w:pPr>
        <w:ind w:firstLine="567"/>
      </w:pPr>
      <w:r>
        <w:t>Эх сурвалж: Оюутны тооцоолол</w:t>
      </w:r>
    </w:p>
    <w:p w14:paraId="1F63378F" w14:textId="77777777" w:rsidR="000B782D" w:rsidRDefault="0018275F">
      <w:pPr>
        <w:spacing w:before="60" w:after="60" w:line="276" w:lineRule="auto"/>
      </w:pPr>
      <w: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статистикийн хувьд ач холбогдолтойг харуулна. Гэхдээ давталтын тоо 1,999 болгож өргөтгөөгүй тул энэхүү ач холбогдлыг хэт хүчтэй дүгнэлт бус, үндсэн нотолгоог дэмжсэн эмпирик үр дүн гэж болгоомжтой тайлбарлана.</w:t>
      </w:r>
    </w:p>
    <w:p w14:paraId="3C573C32" w14:textId="4A093018" w:rsidR="00313831" w:rsidRDefault="00F44A9E">
      <w:pPr/>
      <w:r>
        <w:t>Зураг 7  Регимүүдийн өгөөжийн зөрүүний бүүтстрап тархалт</w:t>
      </w:r>
    </w:p>
    <w:p w14:paraId="5D86DC7D" w14:textId="1CD34B71" w:rsidR="00371247" w:rsidRDefault="00371247" w:rsidP="00371247">
      <w:pPr>
        <w:spacing w:before="60" w:after="240" w:line="276" w:lineRule="auto"/>
        <w:jc w:val="center"/>
      </w:pPr>
      <w:r>
        <w:drawing>
          <wp:inline xmlns:a="http://schemas.openxmlformats.org/drawingml/2006/main" xmlns:pic="http://schemas.openxmlformats.org/drawingml/2006/picture">
            <wp:extent cx="5303520" cy="3447288"/>
            <wp:docPr id="37" name="Picture 3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03520" cy="3447288"/>
                    </a:xfrm>
                    <a:prstGeom prst="rect"/>
                  </pic:spPr>
                </pic:pic>
              </a:graphicData>
            </a:graphic>
          </wp:inline>
        </w:drawing>
      </w:r>
    </w:p>
    <w:p w14:paraId="79AD1C6F" w14:textId="77777777" w:rsidR="000B782D" w:rsidRDefault="0018275F" w:rsidP="00371247">
      <w:pPr>
        <w:spacing w:after="60"/>
      </w:pPr>
      <w:r>
        <w:t>Эх сурвалж: Оюутны тооцоолол</w:t>
      </w:r>
    </w:p>
    <w:p w14:paraId="1251C7C8" w14:textId="77777777" w:rsidR="000B782D" w:rsidRDefault="0018275F">
      <w:pPr>
        <w:spacing w:after="120"/>
      </w:pPr>
      <w:r>
        <w:t>Хүснэгт 6  Бүүтстрап дүгнэлтийн нэгтгэл</w:t>
      </w:r>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Бүүтстрап давталт</w:t>
            </w:r>
          </w:p>
        </w:tc>
        <w:tc>
          <w:tcPr>
            <w:tcW w:w="2098" w:type="dxa"/>
            <w:tcBorders>
              <w:top w:val="single" w:sz="4" w:space="0" w:color="000000"/>
              <w:left w:val="single" w:sz="4" w:space="0" w:color="000000"/>
              <w:bottom w:val="single" w:sz="4" w:space="0" w:color="000000"/>
              <w:right w:val="single" w:sz="4" w:space="0" w:color="000000"/>
            </w:tcBorders>
            <w:vAlign w:val="center"/>
          </w:tcPr>
          <w:p>
            <w:r>
              <w:t>399</w:t>
            </w:r>
          </w:p>
        </w:tc>
        <w:tc>
          <w:tcPr>
            <w:tcW w:w="2098" w:type="dxa"/>
            <w:tcBorders>
              <w:top w:val="single" w:sz="4" w:space="0" w:color="000000"/>
              <w:left w:val="single" w:sz="4" w:space="0" w:color="000000"/>
              <w:bottom w:val="single" w:sz="4" w:space="0" w:color="000000"/>
              <w:right w:val="single" w:sz="4" w:space="0" w:color="000000"/>
            </w:tcBorders>
            <w:vAlign w:val="center"/>
          </w:tcPr>
          <w:p>
            <w:r>
              <w:t>Амжилттай давталт</w:t>
            </w:r>
          </w:p>
        </w:tc>
        <w:tc>
          <w:tcPr>
            <w:tcW w:w="1701" w:type="dxa"/>
            <w:tcBorders>
              <w:top w:val="single" w:sz="4" w:space="0" w:color="000000"/>
              <w:left w:val="single" w:sz="4" w:space="0" w:color="000000"/>
              <w:bottom w:val="single" w:sz="4" w:space="0" w:color="000000"/>
              <w:right w:val="single" w:sz="4" w:space="0" w:color="000000"/>
            </w:tcBorders>
            <w:vAlign w:val="center"/>
          </w:tcPr>
          <w:p>
            <w:r>
              <w:t>399</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Босго 2.5%</w:t>
            </w:r>
          </w:p>
        </w:tc>
        <w:tc>
          <w:tcPr>
            <w:tcW w:w="2098" w:type="dxa"/>
            <w:tcBorders>
              <w:top w:val="single" w:sz="4" w:space="0" w:color="000000"/>
              <w:left w:val="single" w:sz="4" w:space="0" w:color="000000"/>
              <w:bottom w:val="single" w:sz="4" w:space="0" w:color="000000"/>
              <w:right w:val="single" w:sz="4" w:space="0" w:color="000000"/>
            </w:tcBorders>
            <w:vAlign w:val="center"/>
          </w:tcPr>
          <w:p>
            <w:r>
              <w:t>18.48</w:t>
            </w:r>
          </w:p>
        </w:tc>
        <w:tc>
          <w:tcPr>
            <w:tcW w:w="2098" w:type="dxa"/>
            <w:tcBorders>
              <w:top w:val="single" w:sz="4" w:space="0" w:color="000000"/>
              <w:left w:val="single" w:sz="4" w:space="0" w:color="000000"/>
              <w:bottom w:val="single" w:sz="4" w:space="0" w:color="000000"/>
              <w:right w:val="single" w:sz="4" w:space="0" w:color="000000"/>
            </w:tcBorders>
            <w:vAlign w:val="center"/>
          </w:tcPr>
          <w:p>
            <w:r>
              <w:t>Босго медиан</w:t>
            </w:r>
          </w:p>
        </w:tc>
        <w:tc>
          <w:tcPr>
            <w:tcW w:w="1701" w:type="dxa"/>
            <w:tcBorders>
              <w:top w:val="single" w:sz="4" w:space="0" w:color="000000"/>
              <w:left w:val="single" w:sz="4" w:space="0" w:color="000000"/>
              <w:bottom w:val="single" w:sz="4" w:space="0" w:color="000000"/>
              <w:right w:val="single" w:sz="4" w:space="0" w:color="000000"/>
            </w:tcBorders>
            <w:vAlign w:val="center"/>
          </w:tcPr>
          <w:p>
            <w:r>
              <w:t>19.56</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Босго 97.5%</w:t>
            </w:r>
          </w:p>
        </w:tc>
        <w:tc>
          <w:tcPr>
            <w:tcW w:w="2098" w:type="dxa"/>
            <w:tcBorders>
              <w:top w:val="single" w:sz="4" w:space="0" w:color="000000"/>
              <w:left w:val="single" w:sz="4" w:space="0" w:color="000000"/>
              <w:bottom w:val="single" w:sz="4" w:space="0" w:color="000000"/>
              <w:right w:val="single" w:sz="4" w:space="0" w:color="000000"/>
            </w:tcBorders>
            <w:vAlign w:val="center"/>
          </w:tcPr>
          <w:p>
            <w:r>
              <w:t>25.53</w:t>
            </w:r>
          </w:p>
        </w:tc>
        <w:tc>
          <w:tcPr>
            <w:tcW w:w="2098" w:type="dxa"/>
            <w:tcBorders>
              <w:top w:val="single" w:sz="4" w:space="0" w:color="000000"/>
              <w:left w:val="single" w:sz="4" w:space="0" w:color="000000"/>
              <w:bottom w:val="single" w:sz="4" w:space="0" w:color="000000"/>
              <w:right w:val="single" w:sz="4" w:space="0" w:color="000000"/>
            </w:tcBorders>
            <w:vAlign w:val="center"/>
          </w:tcPr>
          <w:p>
            <w:r>
              <w:t>Bootstrap p-утга</w:t>
            </w:r>
          </w:p>
        </w:tc>
        <w:tc>
          <w:tcPr>
            <w:tcW w:w="1701" w:type="dxa"/>
            <w:tcBorders>
              <w:top w:val="single" w:sz="4" w:space="0" w:color="000000"/>
              <w:left w:val="single" w:sz="4" w:space="0" w:color="000000"/>
              <w:bottom w:val="single" w:sz="4" w:space="0" w:color="000000"/>
              <w:right w:val="single" w:sz="4" w:space="0" w:color="000000"/>
            </w:tcBorders>
            <w:vAlign w:val="center"/>
          </w:tcPr>
          <w:p>
            <w:r>
              <w:t>0.0451</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Доод регим β CI</w:t>
            </w:r>
          </w:p>
        </w:tc>
        <w:tc>
          <w:tcPr>
            <w:tcW w:w="2098" w:type="dxa"/>
            <w:tcBorders>
              <w:top w:val="single" w:sz="4" w:space="0" w:color="000000"/>
              <w:left w:val="single" w:sz="4" w:space="0" w:color="000000"/>
              <w:bottom w:val="single" w:sz="4" w:space="0" w:color="000000"/>
              <w:right w:val="single" w:sz="4" w:space="0" w:color="000000"/>
            </w:tcBorders>
            <w:vAlign w:val="center"/>
          </w:tcPr>
          <w:p>
            <w:r>
              <w:t>[0.0558; 0.1173]</w:t>
            </w:r>
          </w:p>
        </w:tc>
        <w:tc>
          <w:tcPr>
            <w:tcW w:w="2098" w:type="dxa"/>
            <w:tcBorders>
              <w:top w:val="single" w:sz="4" w:space="0" w:color="000000"/>
              <w:left w:val="single" w:sz="4" w:space="0" w:color="000000"/>
              <w:bottom w:val="single" w:sz="4" w:space="0" w:color="000000"/>
              <w:right w:val="single" w:sz="4" w:space="0" w:color="000000"/>
            </w:tcBorders>
            <w:vAlign w:val="center"/>
          </w:tcPr>
          <w:p>
            <w:r>
              <w:t>Дээд регим β CI</w:t>
            </w:r>
          </w:p>
        </w:tc>
        <w:tc>
          <w:tcPr>
            <w:tcW w:w="1701" w:type="dxa"/>
            <w:tcBorders>
              <w:top w:val="single" w:sz="4" w:space="0" w:color="000000"/>
              <w:left w:val="single" w:sz="4" w:space="0" w:color="000000"/>
              <w:bottom w:val="single" w:sz="4" w:space="0" w:color="000000"/>
              <w:right w:val="single" w:sz="4" w:space="0" w:color="000000"/>
            </w:tcBorders>
            <w:vAlign w:val="center"/>
          </w:tcPr>
          <w:p>
            <w:r>
              <w:t>[0.0800; 0.1504]</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β зөрүүний CI</w:t>
            </w:r>
          </w:p>
        </w:tc>
        <w:tc>
          <w:tcPr>
            <w:tcW w:w="2098" w:type="dxa"/>
            <w:tcBorders>
              <w:top w:val="single" w:sz="4" w:space="0" w:color="000000"/>
              <w:left w:val="single" w:sz="4" w:space="0" w:color="000000"/>
              <w:bottom w:val="single" w:sz="4" w:space="0" w:color="000000"/>
              <w:right w:val="single" w:sz="4" w:space="0" w:color="000000"/>
            </w:tcBorders>
            <w:vAlign w:val="center"/>
          </w:tcPr>
          <w:p>
            <w:r>
              <w:t>[0.0044; 0.0608]</w:t>
            </w:r>
          </w:p>
        </w:tc>
        <w:tc>
          <w:tcPr>
            <w:tcW w:w="2098" w:type="dxa"/>
            <w:tcBorders>
              <w:top w:val="single" w:sz="4" w:space="0" w:color="000000"/>
              <w:left w:val="single" w:sz="4" w:space="0" w:color="000000"/>
              <w:bottom w:val="single" w:sz="4" w:space="0" w:color="000000"/>
              <w:right w:val="single" w:sz="4" w:space="0" w:color="000000"/>
            </w:tcBorders>
            <w:vAlign w:val="center"/>
          </w:tcPr>
          <w:p>
            <w:r>
              <w:t>Тэгийг агуулсан эсэх</w:t>
            </w:r>
          </w:p>
        </w:tc>
        <w:tc>
          <w:tcPr>
            <w:tcW w:w="1701" w:type="dxa"/>
            <w:tcBorders>
              <w:top w:val="single" w:sz="4" w:space="0" w:color="000000"/>
              <w:left w:val="single" w:sz="4" w:space="0" w:color="000000"/>
              <w:bottom w:val="single" w:sz="4" w:space="0" w:color="000000"/>
              <w:right w:val="single" w:sz="4" w:space="0" w:color="000000"/>
            </w:tcBorders>
            <w:vAlign w:val="center"/>
          </w:tcPr>
          <w:p>
            <w:r>
              <w:t>Үгүй</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Дүгнэлт</w:t>
            </w:r>
          </w:p>
        </w:tc>
        <w:tc>
          <w:tcPr>
            <w:tcW w:w="2098" w:type="dxa"/>
            <w:tcBorders>
              <w:top w:val="single" w:sz="4" w:space="0" w:color="000000"/>
              <w:left w:val="single" w:sz="4" w:space="0" w:color="000000"/>
              <w:bottom w:val="single" w:sz="4" w:space="0" w:color="000000"/>
              <w:right w:val="single" w:sz="4" w:space="0" w:color="000000"/>
            </w:tcBorders>
            <w:vAlign w:val="center"/>
          </w:tcPr>
          <w:p>
            <w:r>
              <w:t>Регимийн ялгаа дэмжигдсэн</w:t>
            </w:r>
          </w:p>
        </w:tc>
        <w:tc>
          <w:tcPr>
            <w:tcW w:w="2098" w:type="dxa"/>
            <w:tcBorders>
              <w:top w:val="single" w:sz="4" w:space="0" w:color="000000"/>
              <w:left w:val="single" w:sz="4" w:space="0" w:color="000000"/>
              <w:bottom w:val="single" w:sz="4" w:space="0" w:color="000000"/>
              <w:right w:val="single" w:sz="4" w:space="0" w:color="000000"/>
            </w:tcBorders>
            <w:vAlign w:val="center"/>
          </w:tcPr>
          <w:p>
            <w:r>
              <w:t>Анхаарах зүйл</w:t>
            </w:r>
          </w:p>
        </w:tc>
        <w:tc>
          <w:tcPr>
            <w:tcW w:w="1701" w:type="dxa"/>
            <w:tcBorders>
              <w:top w:val="single" w:sz="4" w:space="0" w:color="000000"/>
              <w:left w:val="single" w:sz="4" w:space="0" w:color="000000"/>
              <w:bottom w:val="single" w:sz="4" w:space="0" w:color="000000"/>
              <w:right w:val="single" w:sz="4" w:space="0" w:color="000000"/>
            </w:tcBorders>
            <w:vAlign w:val="center"/>
          </w:tcPr>
          <w:p>
            <w:r>
              <w:t>B=399 тул болгоомжтой тайлбарлана</w:t>
            </w:r>
          </w:p>
        </w:tc>
      </w:tr>
    </w:tbl>
    <w:p w14:paraId="6669F303" w14:textId="77777777" w:rsidR="000B782D" w:rsidRDefault="0018275F">
      <w:pPr>
        <w:ind w:firstLine="567"/>
      </w:pPr>
      <w: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099C97A4" w14:textId="77777777" w:rsidR="000B782D" w:rsidRDefault="0018275F">
      <w:pPr>
        <w:ind w:firstLine="567"/>
      </w:pPr>
      <w:r>
        <w:t>Эх сурвалж: Оюутны тооцоолол</w:t>
      </w:r>
    </w:p>
    <w:p w14:paraId="57722CC4" w14:textId="77777777" w:rsidR="000B782D" w:rsidRDefault="0018275F">
      <w:pPr>
        <w:pStyle w:val="Heading2"/>
        <w:spacing w:before="240" w:after="60" w:line="276" w:lineRule="auto"/>
      </w:pPr>
      <w:r>
        <w:t>4.6. Эконометрик үр дүнгийн нэгдсэн дүгнэлт</w:t>
      </w:r>
    </w:p>
    <w:p w14:paraId="14895267" w14:textId="77777777" w:rsidR="000B782D" w:rsidRDefault="0018275F">
      <w:pPr>
        <w:spacing w:before="60" w:after="240" w:line="276" w:lineRule="auto"/>
      </w:pPr>
      <w:r>
        <w:t>Хүснэгт 7  Загваруудын нэгдсэн үр дүн</w:t>
      </w:r>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Загвар</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t>β</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Өгөөж (%)</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ЭХБК</w:t>
            </w:r>
          </w:p>
        </w:tc>
        <w:tc>
          <w:tcPr>
            <w:tcW w:w="1304" w:type="dxa"/>
            <w:tcBorders>
              <w:top w:val="single" w:sz="4" w:space="0" w:color="000000"/>
              <w:left w:val="single" w:sz="4" w:space="0" w:color="000000"/>
              <w:bottom w:val="single" w:sz="4" w:space="0" w:color="000000"/>
              <w:right w:val="single" w:sz="4" w:space="0" w:color="000000"/>
            </w:tcBorders>
            <w:vAlign w:val="center"/>
          </w:tcPr>
          <w:p>
            <w:r>
              <w:t>3,188</w:t>
            </w:r>
          </w:p>
        </w:tc>
        <w:tc>
          <w:tcPr>
            <w:tcW w:w="1814" w:type="dxa"/>
            <w:tcBorders>
              <w:top w:val="single" w:sz="4" w:space="0" w:color="000000"/>
              <w:left w:val="single" w:sz="4" w:space="0" w:color="000000"/>
              <w:bottom w:val="single" w:sz="4" w:space="0" w:color="000000"/>
              <w:right w:val="single" w:sz="4" w:space="0" w:color="000000"/>
            </w:tcBorders>
            <w:vAlign w:val="center"/>
          </w:tcPr>
          <w:p>
            <w:r>
              <w:t>0.0472</w:t>
            </w:r>
          </w:p>
        </w:tc>
        <w:tc>
          <w:tcPr>
            <w:tcW w:w="1304" w:type="dxa"/>
            <w:tcBorders>
              <w:top w:val="single" w:sz="4" w:space="0" w:color="000000"/>
              <w:left w:val="single" w:sz="4" w:space="0" w:color="000000"/>
              <w:bottom w:val="single" w:sz="4" w:space="0" w:color="000000"/>
              <w:right w:val="single" w:sz="4" w:space="0" w:color="000000"/>
            </w:tcBorders>
            <w:vAlign w:val="center"/>
          </w:tcPr>
          <w:p>
            <w:r>
              <w:t>4.8</w:t>
            </w:r>
          </w:p>
        </w:tc>
        <w:tc>
          <w:tcPr>
            <w:tcW w:w="1814" w:type="dxa"/>
            <w:tcBorders>
              <w:top w:val="single" w:sz="4" w:space="0" w:color="000000"/>
              <w:left w:val="single" w:sz="4" w:space="0" w:color="000000"/>
              <w:bottom w:val="single" w:sz="4" w:space="0" w:color="000000"/>
              <w:right w:val="single" w:sz="4" w:space="0" w:color="000000"/>
            </w:tcBorders>
            <w:vAlign w:val="center"/>
          </w:tcPr>
          <w:p>
            <w:r/>
          </w:p>
        </w:tc>
        <w:tc>
          <w:tcPr>
            <w:tcW w:w="1134" w:type="dxa"/>
            <w:tcBorders>
              <w:top w:val="single" w:sz="4" w:space="0" w:color="000000"/>
              <w:left w:val="single" w:sz="4" w:space="0" w:color="000000"/>
              <w:bottom w:val="single" w:sz="4" w:space="0" w:color="000000"/>
              <w:right w:val="single" w:sz="4" w:space="0" w:color="000000"/>
            </w:tcBorders>
            <w:vAlign w:val="center"/>
          </w:tcPr>
          <w:p>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ХШХБК</w:t>
            </w:r>
          </w:p>
        </w:tc>
        <w:tc>
          <w:tcPr>
            <w:tcW w:w="1304" w:type="dxa"/>
            <w:tcBorders>
              <w:top w:val="single" w:sz="4" w:space="0" w:color="000000"/>
              <w:left w:val="single" w:sz="4" w:space="0" w:color="000000"/>
              <w:bottom w:val="single" w:sz="4" w:space="0" w:color="000000"/>
              <w:right w:val="single" w:sz="4" w:space="0" w:color="000000"/>
            </w:tcBorders>
            <w:vAlign w:val="center"/>
          </w:tcPr>
          <w:p>
            <w:r>
              <w:t>3,188</w:t>
            </w:r>
          </w:p>
        </w:tc>
        <w:tc>
          <w:tcPr>
            <w:tcW w:w="1814" w:type="dxa"/>
            <w:tcBorders>
              <w:top w:val="single" w:sz="4" w:space="0" w:color="000000"/>
              <w:left w:val="single" w:sz="4" w:space="0" w:color="000000"/>
              <w:bottom w:val="single" w:sz="4" w:space="0" w:color="000000"/>
              <w:right w:val="single" w:sz="4" w:space="0" w:color="000000"/>
            </w:tcBorders>
            <w:vAlign w:val="center"/>
          </w:tcPr>
          <w:p>
            <w:r>
              <w:t>0.1033</w:t>
            </w:r>
          </w:p>
        </w:tc>
        <w:tc>
          <w:tcPr>
            <w:tcW w:w="1304" w:type="dxa"/>
            <w:tcBorders>
              <w:top w:val="single" w:sz="4" w:space="0" w:color="000000"/>
              <w:left w:val="single" w:sz="4" w:space="0" w:color="000000"/>
              <w:bottom w:val="single" w:sz="4" w:space="0" w:color="000000"/>
              <w:right w:val="single" w:sz="4" w:space="0" w:color="000000"/>
            </w:tcBorders>
            <w:vAlign w:val="center"/>
          </w:tcPr>
          <w:p>
            <w:r>
              <w:t>10.9</w:t>
            </w:r>
          </w:p>
        </w:tc>
        <w:tc>
          <w:tcPr>
            <w:tcW w:w="1814" w:type="dxa"/>
            <w:tcBorders>
              <w:top w:val="single" w:sz="4" w:space="0" w:color="000000"/>
              <w:left w:val="single" w:sz="4" w:space="0" w:color="000000"/>
              <w:bottom w:val="single" w:sz="4" w:space="0" w:color="000000"/>
              <w:right w:val="single" w:sz="4" w:space="0" w:color="000000"/>
            </w:tcBorders>
            <w:vAlign w:val="center"/>
          </w:tcPr>
          <w:p>
            <w:r/>
          </w:p>
        </w:tc>
        <w:tc>
          <w:tcPr>
            <w:tcW w:w="1134" w:type="dxa"/>
            <w:tcBorders>
              <w:top w:val="single" w:sz="4" w:space="0" w:color="000000"/>
              <w:left w:val="single" w:sz="4" w:space="0" w:color="000000"/>
              <w:bottom w:val="single" w:sz="4" w:space="0" w:color="000000"/>
              <w:right w:val="single" w:sz="4" w:space="0" w:color="000000"/>
            </w:tcBorders>
            <w:vAlign w:val="center"/>
          </w:tcPr>
          <w:p>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ХХБР доод регим</w:t>
            </w:r>
          </w:p>
        </w:tc>
        <w:tc>
          <w:tcPr>
            <w:tcW w:w="1304" w:type="dxa"/>
            <w:tcBorders>
              <w:top w:val="single" w:sz="4" w:space="0" w:color="000000"/>
              <w:left w:val="single" w:sz="4" w:space="0" w:color="000000"/>
              <w:bottom w:val="single" w:sz="4" w:space="0" w:color="000000"/>
              <w:right w:val="single" w:sz="4" w:space="0" w:color="000000"/>
            </w:tcBorders>
            <w:vAlign w:val="center"/>
          </w:tcPr>
          <w:p>
            <w:r>
              <w:t>1,051</w:t>
            </w:r>
          </w:p>
        </w:tc>
        <w:tc>
          <w:tcPr>
            <w:tcW w:w="1814" w:type="dxa"/>
            <w:tcBorders>
              <w:top w:val="single" w:sz="4" w:space="0" w:color="000000"/>
              <w:left w:val="single" w:sz="4" w:space="0" w:color="000000"/>
              <w:bottom w:val="single" w:sz="4" w:space="0" w:color="000000"/>
              <w:right w:val="single" w:sz="4" w:space="0" w:color="000000"/>
            </w:tcBorders>
            <w:vAlign w:val="center"/>
          </w:tcPr>
          <w:p>
            <w:r>
              <w:t>0.0784</w:t>
            </w:r>
          </w:p>
        </w:tc>
        <w:tc>
          <w:tcPr>
            <w:tcW w:w="1304" w:type="dxa"/>
            <w:tcBorders>
              <w:top w:val="single" w:sz="4" w:space="0" w:color="000000"/>
              <w:left w:val="single" w:sz="4" w:space="0" w:color="000000"/>
              <w:bottom w:val="single" w:sz="4" w:space="0" w:color="000000"/>
              <w:right w:val="single" w:sz="4" w:space="0" w:color="000000"/>
            </w:tcBorders>
            <w:vAlign w:val="center"/>
          </w:tcPr>
          <w:p>
            <w:r>
              <w:t>8.2</w:t>
            </w:r>
          </w:p>
        </w:tc>
        <w:tc>
          <w:tcPr>
            <w:tcW w:w="1814" w:type="dxa"/>
            <w:tcBorders>
              <w:top w:val="single" w:sz="4" w:space="0" w:color="000000"/>
              <w:left w:val="single" w:sz="4" w:space="0" w:color="000000"/>
              <w:bottom w:val="single" w:sz="4" w:space="0" w:color="000000"/>
              <w:right w:val="single" w:sz="4" w:space="0" w:color="000000"/>
            </w:tcBorders>
            <w:vAlign w:val="center"/>
          </w:tcPr>
          <w:p>
            <w:r/>
          </w:p>
        </w:tc>
        <w:tc>
          <w:tcPr>
            <w:tcW w:w="1134" w:type="dxa"/>
            <w:tcBorders>
              <w:top w:val="single" w:sz="4" w:space="0" w:color="000000"/>
              <w:left w:val="single" w:sz="4" w:space="0" w:color="000000"/>
              <w:bottom w:val="single" w:sz="4" w:space="0" w:color="000000"/>
              <w:right w:val="single" w:sz="4" w:space="0" w:color="000000"/>
            </w:tcBorders>
            <w:vAlign w:val="center"/>
          </w:tcPr>
          <w:p>
            <w:r/>
          </w:p>
        </w:tc>
      </w:tr>
      <w:tr>
        <w:tc>
          <w:tcPr>
            <w:tcW w:type="dxa" w:w="1417"/>
          </w:tcPr>
          <w:p>
            <w:r>
              <w:t>ХХБР дээд регим</w:t>
            </w:r>
          </w:p>
        </w:tc>
        <w:tc>
          <w:tcPr>
            <w:tcW w:type="dxa" w:w="1304"/>
          </w:tcPr>
          <w:p>
            <w:r>
              <w:t>2,137</w:t>
            </w:r>
          </w:p>
        </w:tc>
        <w:tc>
          <w:tcPr>
            <w:tcW w:type="dxa" w:w="1814"/>
          </w:tcPr>
          <w:p>
            <w:r>
              <w:t>0.1094</w:t>
            </w:r>
          </w:p>
        </w:tc>
        <w:tc>
          <w:tcPr>
            <w:tcW w:type="dxa" w:w="1304"/>
          </w:tcPr>
          <w:p>
            <w:r>
              <w:t>11.6</w:t>
            </w:r>
          </w:p>
        </w:tc>
        <w:tc>
          <w:tcPr>
            <w:tcW w:type="dxa" w:w="1814"/>
          </w:tcPr>
          <w:p>
            <w:r/>
          </w:p>
        </w:tc>
        <w:tc>
          <w:tcPr>
            <w:tcW w:type="dxa" w:w="1134"/>
          </w:tcPr>
          <w:p>
            <w:r/>
          </w:p>
        </w:tc>
      </w:tr>
      <w:tr>
        <w:tc>
          <w:tcPr>
            <w:tcW w:type="dxa" w:w="1417"/>
          </w:tcPr>
          <w:p>
            <w:r>
              <w:t>Регимийн зөрүү</w:t>
            </w:r>
          </w:p>
        </w:tc>
        <w:tc>
          <w:tcPr>
            <w:tcW w:type="dxa" w:w="1304"/>
          </w:tcPr>
          <w:p>
            <w:r>
              <w:t>3,188</w:t>
            </w:r>
          </w:p>
        </w:tc>
        <w:tc>
          <w:tcPr>
            <w:tcW w:type="dxa" w:w="1814"/>
          </w:tcPr>
          <w:p>
            <w:r>
              <w:t>0.0310</w:t>
            </w:r>
          </w:p>
        </w:tc>
        <w:tc>
          <w:tcPr>
            <w:tcW w:type="dxa" w:w="1304"/>
          </w:tcPr>
          <w:p>
            <w:r>
              <w:t>3.1 нэгж хувь</w:t>
            </w:r>
          </w:p>
        </w:tc>
        <w:tc>
          <w:tcPr>
            <w:tcW w:type="dxa" w:w="1814"/>
          </w:tcPr>
          <w:p>
            <w:r/>
          </w:p>
        </w:tc>
        <w:tc>
          <w:tcPr>
            <w:tcW w:type="dxa" w:w="1134"/>
          </w:tcPr>
          <w:p>
            <w:r/>
          </w:p>
        </w:tc>
      </w:tr>
      <w:tr>
        <w:tc>
          <w:tcPr>
            <w:tcW w:type="dxa" w:w="1417"/>
          </w:tcPr>
          <w:p>
            <w:r>
              <w:t>Эхний шатны F</w:t>
            </w:r>
          </w:p>
        </w:tc>
        <w:tc>
          <w:tcPr>
            <w:tcW w:type="dxa" w:w="1304"/>
          </w:tcPr>
          <w:p>
            <w:r>
              <w:t>3,188</w:t>
            </w:r>
          </w:p>
        </w:tc>
        <w:tc>
          <w:tcPr>
            <w:tcW w:type="dxa" w:w="1814"/>
          </w:tcPr>
          <w:p>
            <w:r>
              <w:t>558.45</w:t>
            </w:r>
          </w:p>
        </w:tc>
        <w:tc>
          <w:tcPr>
            <w:tcW w:type="dxa" w:w="1304"/>
          </w:tcPr>
          <w:p>
            <w:r>
              <w:t>Сул IV биш</w:t>
            </w:r>
          </w:p>
        </w:tc>
        <w:tc>
          <w:tcPr>
            <w:tcW w:type="dxa" w:w="1814"/>
          </w:tcPr>
          <w:p>
            <w:r/>
          </w:p>
        </w:tc>
        <w:tc>
          <w:tcPr>
            <w:tcW w:type="dxa" w:w="1134"/>
          </w:tcPr>
          <w:p>
            <w:r/>
          </w:p>
        </w:tc>
      </w:tr>
      <w:tr>
        <w:tc>
          <w:tcPr>
            <w:tcW w:type="dxa" w:w="1417"/>
          </w:tcPr>
          <w:p>
            <w:r>
              <w:t>Босго γ</w:t>
            </w:r>
          </w:p>
        </w:tc>
        <w:tc>
          <w:tcPr>
            <w:tcW w:type="dxa" w:w="1304"/>
          </w:tcPr>
          <w:p>
            <w:r>
              <w:t>3,188</w:t>
            </w:r>
          </w:p>
        </w:tc>
        <w:tc>
          <w:tcPr>
            <w:tcW w:type="dxa" w:w="1814"/>
          </w:tcPr>
          <w:p>
            <w:r>
              <w:t>19.53</w:t>
            </w:r>
          </w:p>
        </w:tc>
        <w:tc>
          <w:tcPr>
            <w:tcW w:type="dxa" w:w="1304"/>
          </w:tcPr>
          <w:p>
            <w:r>
              <w:t>Сурагч/багш</w:t>
            </w:r>
          </w:p>
        </w:tc>
        <w:tc>
          <w:tcPr>
            <w:tcW w:type="dxa" w:w="1814"/>
          </w:tcPr>
          <w:p>
            <w:r/>
          </w:p>
        </w:tc>
        <w:tc>
          <w:tcPr>
            <w:tcW w:type="dxa" w:w="1134"/>
          </w:tcPr>
          <w:p>
            <w:r/>
          </w:p>
        </w:tc>
      </w:tr>
      <w:tr>
        <w:tc>
          <w:tcPr>
            <w:tcW w:type="dxa" w:w="1417"/>
          </w:tcPr>
          <w:p>
            <w:r>
              <w:t>Bootstrap p</w:t>
            </w:r>
          </w:p>
        </w:tc>
        <w:tc>
          <w:tcPr>
            <w:tcW w:type="dxa" w:w="1304"/>
          </w:tcPr>
          <w:p>
            <w:r>
              <w:t>399 давталт</w:t>
            </w:r>
          </w:p>
        </w:tc>
        <w:tc>
          <w:tcPr>
            <w:tcW w:type="dxa" w:w="1814"/>
          </w:tcPr>
          <w:p>
            <w:r>
              <w:t>0.0451</w:t>
            </w:r>
          </w:p>
        </w:tc>
        <w:tc>
          <w:tcPr>
            <w:tcW w:type="dxa" w:w="1304"/>
          </w:tcPr>
          <w:p>
            <w:r>
              <w:t>5%-ийн түвшинд</w:t>
            </w:r>
          </w:p>
        </w:tc>
        <w:tc>
          <w:tcPr>
            <w:tcW w:type="dxa" w:w="1814"/>
          </w:tcPr>
          <w:p>
            <w:r/>
          </w:p>
        </w:tc>
        <w:tc>
          <w:tcPr>
            <w:tcW w:type="dxa" w:w="1134"/>
          </w:tcPr>
          <w:p>
            <w:r/>
          </w:p>
        </w:tc>
      </w:tr>
      <w:tr>
        <w:tc>
          <w:tcPr>
            <w:tcW w:type="dxa" w:w="1417"/>
          </w:tcPr>
          <w:p>
            <w:r>
              <w:t>Гол тайлбар</w:t>
            </w:r>
          </w:p>
        </w:tc>
        <w:tc>
          <w:tcPr>
            <w:tcW w:type="dxa" w:w="1304"/>
          </w:tcPr>
          <w:p>
            <w:r>
              <w:t>—</w:t>
            </w:r>
          </w:p>
        </w:tc>
        <w:tc>
          <w:tcPr>
            <w:tcW w:type="dxa" w:w="1814"/>
          </w:tcPr>
          <w:p>
            <w:r>
              <w:t>—</w:t>
            </w:r>
          </w:p>
        </w:tc>
        <w:tc>
          <w:tcPr>
            <w:tcW w:type="dxa" w:w="1304"/>
          </w:tcPr>
          <w:p>
            <w:r>
              <w:t>Сургуулийн орчны регимийн ялгаа</w:t>
            </w:r>
          </w:p>
        </w:tc>
        <w:tc>
          <w:tcPr>
            <w:tcW w:type="dxa" w:w="1814"/>
          </w:tcPr>
          <w:p>
            <w:r/>
          </w:p>
        </w:tc>
        <w:tc>
          <w:tcPr>
            <w:tcW w:type="dxa" w:w="1134"/>
          </w:tcPr>
          <w:p>
            <w:r/>
          </w:p>
        </w:tc>
      </w:tr>
      <w:tr>
        <w:tc>
          <w:tcPr>
            <w:tcW w:type="dxa" w:w="1417"/>
          </w:tcPr>
          <w:p>
            <w:r>
              <w:t>Анхаарах зүйл</w:t>
            </w:r>
          </w:p>
        </w:tc>
        <w:tc>
          <w:tcPr>
            <w:tcW w:type="dxa" w:w="1304"/>
          </w:tcPr>
          <w:p>
            <w:r>
              <w:t>—</w:t>
            </w:r>
          </w:p>
        </w:tc>
        <w:tc>
          <w:tcPr>
            <w:tcW w:type="dxa" w:w="1814"/>
          </w:tcPr>
          <w:p>
            <w:r>
              <w:t>—</w:t>
            </w:r>
          </w:p>
        </w:tc>
        <w:tc>
          <w:tcPr>
            <w:tcW w:type="dxa" w:w="1304"/>
          </w:tcPr>
          <w:p>
            <w:r>
              <w:t>Шууд шалтгаан гэж тайлбарлахгүй</w:t>
            </w:r>
          </w:p>
        </w:tc>
        <w:tc>
          <w:tcPr>
            <w:tcW w:type="dxa" w:w="1814"/>
          </w:tcPr>
          <w:p>
            <w:r/>
          </w:p>
        </w:tc>
        <w:tc>
          <w:tcPr>
            <w:tcW w:type="dxa" w:w="1134"/>
          </w:tcPr>
          <w:p>
            <w:r/>
          </w:p>
        </w:tc>
      </w:tr>
    </w:tbl>
    <w:p w14:paraId="732AF462" w14:textId="77777777" w:rsidR="000B782D" w:rsidRDefault="0018275F">
      <w:pPr>
        <w:ind w:firstLine="567"/>
      </w:pPr>
      <w:r>
        <w:t>Эх сурвалж: Оюутны тооцоолол</w:t>
      </w:r>
    </w:p>
    <w:p w14:paraId="51EE51EE" w14:textId="77777777" w:rsidR="000B782D" w:rsidRDefault="0018275F">
      <w:pPr>
        <w:ind w:firstLine="567"/>
      </w:pPr>
      <w: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Иймээс энэ судалгааны гол дүгнэлт нь боловсролын өгөөж эерэг бөгөөд статистикийн хувьд ач холбогдолтой төдийгүй, 17–18 насны сурагч-багшийн харьцаагаар илэрхийлэгдэх сургуулийн орчны регимүүдийн хооронд ялгаатай байна гэсэн үр дүн юм.</w:t>
      </w:r>
    </w:p>
    <w:p w14:paraId="3EC9FAE4" w14:textId="77777777" w:rsidR="00972FBE" w:rsidRDefault="00D33DC4">
      <w:pPr/>
      <w: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ялгаагаар өөрчлөгдөх боломжтой.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5AAD817" w14:textId="77777777" w:rsidR="00972FBE" w:rsidRDefault="00D33DC4">
      <w:pPr/>
      <w:r>
        <w:t>Хүснэгт 8  Эцсийн түүврийн оношилгоо</w:t>
      </w:r>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t>Доод утга</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Төв утга</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r>
              <w:t>Дээд утга</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w:t>
            </w:r>
          </w:p>
        </w:tc>
        <w:tc>
          <w:tcPr>
            <w:tcW w:w="1814" w:type="dxa"/>
            <w:tcBorders>
              <w:top w:val="single" w:sz="4" w:space="0" w:color="000000"/>
              <w:left w:val="single" w:sz="4" w:space="0" w:color="000000"/>
              <w:bottom w:val="single" w:sz="4" w:space="0" w:color="000000"/>
              <w:right w:val="single" w:sz="4" w:space="0" w:color="000000"/>
            </w:tcBorders>
            <w:vAlign w:val="center"/>
          </w:tcPr>
          <w:p>
            <w:r>
              <w:t>3.79</w:t>
            </w:r>
          </w:p>
        </w:tc>
        <w:tc>
          <w:tcPr>
            <w:tcW w:w="1984" w:type="dxa"/>
            <w:tcBorders>
              <w:top w:val="single" w:sz="4" w:space="0" w:color="000000"/>
              <w:left w:val="single" w:sz="4" w:space="0" w:color="000000"/>
              <w:bottom w:val="single" w:sz="4" w:space="0" w:color="000000"/>
              <w:right w:val="single" w:sz="4" w:space="0" w:color="000000"/>
            </w:tcBorders>
            <w:vAlign w:val="center"/>
          </w:tcPr>
          <w:p>
            <w:r>
              <w:t>20.51</w:t>
            </w:r>
          </w:p>
        </w:tc>
        <w:tc>
          <w:tcPr>
            <w:tcW w:w="1587" w:type="dxa"/>
            <w:tcBorders>
              <w:top w:val="single" w:sz="4" w:space="0" w:color="000000"/>
              <w:left w:val="single" w:sz="4" w:space="0" w:color="000000"/>
              <w:bottom w:val="single" w:sz="4" w:space="0" w:color="000000"/>
              <w:right w:val="single" w:sz="4" w:space="0" w:color="000000"/>
            </w:tcBorders>
            <w:vAlign w:val="center"/>
          </w:tcPr>
          <w:p>
            <w:r>
              <w:t>70.06</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Босгоны хайлтын муж</w:t>
            </w:r>
          </w:p>
        </w:tc>
        <w:tc>
          <w:tcPr>
            <w:tcW w:w="1814" w:type="dxa"/>
            <w:tcBorders>
              <w:top w:val="single" w:sz="4" w:space="0" w:color="000000"/>
              <w:left w:val="single" w:sz="4" w:space="0" w:color="000000"/>
              <w:bottom w:val="single" w:sz="4" w:space="0" w:color="000000"/>
              <w:right w:val="single" w:sz="4" w:space="0" w:color="000000"/>
            </w:tcBorders>
            <w:vAlign w:val="center"/>
          </w:tcPr>
          <w:p>
            <w:r>
              <w:t>15%</w:t>
            </w:r>
          </w:p>
        </w:tc>
        <w:tc>
          <w:tcPr>
            <w:tcW w:w="1984" w:type="dxa"/>
            <w:tcBorders>
              <w:top w:val="single" w:sz="4" w:space="0" w:color="000000"/>
              <w:left w:val="single" w:sz="4" w:space="0" w:color="000000"/>
              <w:bottom w:val="single" w:sz="4" w:space="0" w:color="000000"/>
              <w:right w:val="single" w:sz="4" w:space="0" w:color="000000"/>
            </w:tcBorders>
            <w:vAlign w:val="center"/>
          </w:tcPr>
          <w:p>
            <w:r>
              <w:t>—</w:t>
            </w:r>
          </w:p>
        </w:tc>
        <w:tc>
          <w:tcPr>
            <w:tcW w:w="1587" w:type="dxa"/>
            <w:tcBorders>
              <w:top w:val="single" w:sz="4" w:space="0" w:color="000000"/>
              <w:left w:val="single" w:sz="4" w:space="0" w:color="000000"/>
              <w:bottom w:val="single" w:sz="4" w:space="0" w:color="000000"/>
              <w:right w:val="single" w:sz="4" w:space="0" w:color="000000"/>
            </w:tcBorders>
            <w:vAlign w:val="center"/>
          </w:tcPr>
          <w:p>
            <w:r>
              <w:t>85%</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Сонгогдсон босго</w:t>
            </w:r>
          </w:p>
        </w:tc>
        <w:tc>
          <w:tcPr>
            <w:tcW w:w="1814" w:type="dxa"/>
            <w:tcBorders>
              <w:top w:val="single" w:sz="4" w:space="0" w:color="000000"/>
              <w:left w:val="single" w:sz="4" w:space="0" w:color="000000"/>
              <w:bottom w:val="single" w:sz="4" w:space="0" w:color="000000"/>
              <w:right w:val="single" w:sz="4" w:space="0" w:color="000000"/>
            </w:tcBorders>
            <w:vAlign w:val="center"/>
          </w:tcPr>
          <w:p>
            <w:r>
              <w:t>—</w:t>
            </w:r>
          </w:p>
        </w:tc>
        <w:tc>
          <w:tcPr>
            <w:tcW w:w="1984" w:type="dxa"/>
            <w:tcBorders>
              <w:top w:val="single" w:sz="4" w:space="0" w:color="000000"/>
              <w:left w:val="single" w:sz="4" w:space="0" w:color="000000"/>
              <w:bottom w:val="single" w:sz="4" w:space="0" w:color="000000"/>
              <w:right w:val="single" w:sz="4" w:space="0" w:color="000000"/>
            </w:tcBorders>
            <w:vAlign w:val="center"/>
          </w:tcPr>
          <w:p>
            <w:r>
              <w:t>19.53</w:t>
            </w:r>
          </w:p>
        </w:tc>
        <w:tc>
          <w:tcPr>
            <w:tcW w:w="1587" w:type="dxa"/>
            <w:tcBorders>
              <w:top w:val="single" w:sz="4" w:space="0" w:color="000000"/>
              <w:left w:val="single" w:sz="4" w:space="0" w:color="000000"/>
              <w:bottom w:val="single" w:sz="4" w:space="0" w:color="000000"/>
              <w:right w:val="single" w:sz="4" w:space="0" w:color="000000"/>
            </w:tcBorders>
            <w:vAlign w:val="center"/>
          </w:tcPr>
          <w:p>
            <w:r>
              <w:t>—</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Боловсролтой корреляци</w:t>
            </w:r>
          </w:p>
        </w:tc>
        <w:tc>
          <w:tcPr>
            <w:tcW w:w="1814" w:type="dxa"/>
            <w:tcBorders>
              <w:top w:val="single" w:sz="4" w:space="0" w:color="000000"/>
              <w:left w:val="single" w:sz="4" w:space="0" w:color="000000"/>
              <w:bottom w:val="single" w:sz="4" w:space="0" w:color="000000"/>
              <w:right w:val="single" w:sz="4" w:space="0" w:color="000000"/>
            </w:tcBorders>
            <w:vAlign w:val="center"/>
          </w:tcPr>
          <w:p>
            <w:r>
              <w:t>—</w:t>
            </w:r>
          </w:p>
        </w:tc>
        <w:tc>
          <w:tcPr>
            <w:tcW w:w="1984" w:type="dxa"/>
            <w:tcBorders>
              <w:top w:val="single" w:sz="4" w:space="0" w:color="000000"/>
              <w:left w:val="single" w:sz="4" w:space="0" w:color="000000"/>
              <w:bottom w:val="single" w:sz="4" w:space="0" w:color="000000"/>
              <w:right w:val="single" w:sz="4" w:space="0" w:color="000000"/>
            </w:tcBorders>
            <w:vAlign w:val="center"/>
          </w:tcPr>
          <w:p>
            <w:r>
              <w:t>−0.049</w:t>
            </w:r>
          </w:p>
        </w:tc>
        <w:tc>
          <w:tcPr>
            <w:tcW w:w="1587" w:type="dxa"/>
            <w:tcBorders>
              <w:top w:val="single" w:sz="4" w:space="0" w:color="000000"/>
              <w:left w:val="single" w:sz="4" w:space="0" w:color="000000"/>
              <w:bottom w:val="single" w:sz="4" w:space="0" w:color="000000"/>
              <w:right w:val="single" w:sz="4" w:space="0" w:color="000000"/>
            </w:tcBorders>
            <w:vAlign w:val="center"/>
          </w:tcPr>
          <w:p>
            <w:r>
              <w:t>—</w:t>
            </w:r>
          </w:p>
        </w:tc>
      </w:tr>
    </w:tbl>
    <w:p w14:paraId="6630CD55" w14:textId="77777777" w:rsidR="00972FBE" w:rsidRDefault="00D33DC4">
      <w:pPr/>
      <w:r>
        <w:t>Эх сурвалж: Оюутны тооцоолол</w:t>
      </w:r>
    </w:p>
    <w:p w14:paraId="7942340E" w14:textId="77777777" w:rsidR="00972FBE" w:rsidRDefault="00D33DC4">
      <w:pPr/>
      <w:r>
        <w:t>Эцсийн түүвэр нь 22 төрсөн аймаг, 4 төрсөн үеийн бүлэг, 4 судалгааны давалгааг хамарсан. Босго хувьсагчийн боловсролын жилтэй корреляци −0.049, эцэг, эхийн 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7BD3F8CA" w14:textId="77777777" w:rsidR="000B782D" w:rsidRDefault="0018275F">
      <w:pPr>
        <w:spacing w:after="120"/>
      </w:pPr>
      <w:r>
        <w:t>Босгоны мэдрэмжийн хувьд зорилгын функц 19.53 орчимд хамгийн бага болсон бөгөөд босго хувьсагчийн боловсрол, цалин, хэрэгсэл хувьсагчтай корреляци бага байгаа нь уг хувьсагчийг регим ялгах үзүүлэлт болгон ашиглах үндэслэлийг дэмжиж байна.</w:t>
      </w:r>
    </w:p>
    <w:p w14:paraId="0DFC5964" w14:textId="77777777" w:rsidR="000B782D" w:rsidRDefault="0018275F">
      <w:pPr>
        <w:spacing w:before="240" w:after="60" w:line="276" w:lineRule="auto"/>
      </w:pPr>
      <w:r/>
    </w:p>
    <w:p w14:paraId="0784DC62" w14:textId="77777777" w:rsidR="000B782D" w:rsidRDefault="0018275F">
      <w:pPr>
        <w:spacing w:before="60" w:after="240" w:line="276" w:lineRule="auto"/>
      </w:pPr>
      <w: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w:t>
      </w:r>
    </w:p>
    <w:p w14:paraId="0F073E26" w14:textId="0BE634D0" w:rsidR="00371247" w:rsidRDefault="0018275F">
      <w:pPr>
        <w:ind w:firstLine="567"/>
      </w:pPr>
      <w:r/>
    </w:p>
    <w:p w14:paraId="1984C909" w14:textId="77777777" w:rsidR="000B782D" w:rsidRDefault="000B782D">
      <w:pPr>
        <w:ind w:firstLine="567"/>
      </w:pPr>
      <w: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