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120" w:after="120"/>
        <w:jc w:val="center"/>
      </w:pPr>
      <w:r>
        <w:rPr>
          <w:rFonts w:ascii="Times New Roman" w:hAnsi="Times New Roman" w:eastAsia="Times New Roman"/>
          <w:b/>
          <w:i w:val="0"/>
          <w:sz w:val="28"/>
        </w:rPr>
        <w:t>САНХҮҮ ЭДИЙН ЗАСГИЙН ИХ СУРГУУЛЬ</w:t>
      </w:r>
    </w:p>
    <w:p>
      <w:pPr>
        <w:spacing w:line="360" w:lineRule="auto" w:before="120" w:after="120"/>
        <w:jc w:val="center"/>
      </w:pPr>
      <w:r>
        <w:rPr>
          <w:rFonts w:ascii="Times New Roman" w:hAnsi="Times New Roman" w:eastAsia="Times New Roman"/>
          <w:b/>
          <w:i w:val="0"/>
          <w:sz w:val="26"/>
        </w:rPr>
        <w:t>ЭКОНОМЕТРИКИЙН VIII ОЛИМПИАДЫН II ШАТ</w:t>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center"/>
      </w:pPr>
      <w:r>
        <w:rPr>
          <w:rFonts w:ascii="Times New Roman" w:hAnsi="Times New Roman" w:eastAsia="Times New Roman"/>
          <w:b/>
          <w:i w:val="0"/>
          <w:sz w:val="36"/>
        </w:rPr>
        <w:t>ЭРДЭМ ШИНЖИЛГЭЭНИЙ НЭМЭЛТ ТАЙЛАН</w:t>
      </w:r>
    </w:p>
    <w:p>
      <w:pPr>
        <w:spacing w:line="360" w:lineRule="auto" w:before="120" w:after="120"/>
        <w:jc w:val="center"/>
      </w:pPr>
      <w:r>
        <w:rPr>
          <w:rFonts w:ascii="Times New Roman" w:hAnsi="Times New Roman" w:eastAsia="Times New Roman"/>
          <w:b w:val="0"/>
          <w:i/>
          <w:sz w:val="28"/>
        </w:rPr>
        <w:t>Сэдэв: Боловсролын өгөөжийн ялгаатай байдлыг Instrumental Forest аргаар шалгах нь</w:t>
      </w:r>
    </w:p>
    <w:p>
      <w:pPr>
        <w:spacing w:line="360" w:lineRule="auto" w:before="120" w:after="120"/>
        <w:jc w:val="center"/>
      </w:pPr>
      <w:r>
        <w:rPr>
          <w:rFonts w:ascii="Times New Roman" w:hAnsi="Times New Roman" w:eastAsia="Times New Roman"/>
          <w:b w:val="0"/>
          <w:i w:val="0"/>
          <w:sz w:val="24"/>
        </w:rPr>
        <w:t>Монгол Улсад боловсролын бодит өгөөжийн босготой үнэлгээ судалгаанд хавсаргах machine learning нэмэлт шинжилгээ</w:t>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center"/>
      </w:pPr>
      <w:r>
        <w:rPr>
          <w:rFonts w:ascii="Times New Roman" w:hAnsi="Times New Roman" w:eastAsia="Times New Roman"/>
          <w:b w:val="0"/>
          <w:i w:val="0"/>
          <w:sz w:val="24"/>
        </w:rPr>
        <w:t>Боловсруулсан: А.Азжаргал, Ү.Номин, Ц.Цогжавхлан</w:t>
      </w:r>
    </w:p>
    <w:p>
      <w:pPr>
        <w:spacing w:line="360" w:lineRule="auto" w:before="120" w:after="120"/>
        <w:jc w:val="center"/>
      </w:pPr>
      <w:r>
        <w:rPr>
          <w:rFonts w:ascii="Times New Roman" w:hAnsi="Times New Roman" w:eastAsia="Times New Roman"/>
          <w:b w:val="0"/>
          <w:i w:val="0"/>
          <w:sz w:val="24"/>
        </w:rPr>
        <w:t>Удирдагч: С.Өнөр</w:t>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both"/>
      </w:pPr>
      <w:r>
        <w:rPr>
          <w:rFonts w:ascii="Times New Roman" w:hAnsi="Times New Roman" w:eastAsia="Times New Roman"/>
          <w:b w:val="0"/>
          <w:i w:val="0"/>
        </w:rPr>
      </w:r>
    </w:p>
    <w:p>
      <w:pPr>
        <w:spacing w:line="360" w:lineRule="auto" w:before="120" w:after="120"/>
        <w:jc w:val="center"/>
      </w:pPr>
      <w:r>
        <w:rPr>
          <w:rFonts w:ascii="Times New Roman" w:hAnsi="Times New Roman" w:eastAsia="Times New Roman"/>
          <w:b/>
          <w:i w:val="0"/>
          <w:sz w:val="24"/>
        </w:rPr>
        <w:t>УЛААНБААТАР 2026</w:t>
      </w:r>
    </w:p>
    <w:p>
      <w:r>
        <w:br w:type="page"/>
      </w:r>
    </w:p>
    <w:p>
      <w:pPr>
        <w:spacing w:before="240" w:after="120"/>
        <w:jc w:val="left"/>
      </w:pPr>
      <w:r>
        <w:rPr>
          <w:rFonts w:ascii="Times New Roman" w:hAnsi="Times New Roman" w:eastAsia="Times New Roman"/>
          <w:b/>
          <w:sz w:val="28"/>
        </w:rPr>
        <w:t>АГУУЛГА</w:t>
      </w:r>
    </w:p>
    <w:p>
      <w:pPr>
        <w:spacing w:line="360" w:lineRule="auto" w:before="120" w:after="120"/>
        <w:jc w:val="both"/>
      </w:pPr>
      <w:r>
        <w:rPr>
          <w:rFonts w:ascii="Times New Roman" w:hAnsi="Times New Roman" w:eastAsia="Times New Roman"/>
          <w:b w:val="0"/>
          <w:i w:val="0"/>
        </w:rPr>
        <w:t>ХУРААНГУЙ</w:t>
      </w:r>
    </w:p>
    <w:p>
      <w:pPr>
        <w:spacing w:line="360" w:lineRule="auto" w:before="120" w:after="120"/>
        <w:jc w:val="both"/>
      </w:pPr>
      <w:r>
        <w:rPr>
          <w:rFonts w:ascii="Times New Roman" w:hAnsi="Times New Roman" w:eastAsia="Times New Roman"/>
          <w:b w:val="0"/>
          <w:i w:val="0"/>
        </w:rPr>
        <w:t>ОРШИЛ</w:t>
      </w:r>
    </w:p>
    <w:p>
      <w:pPr>
        <w:spacing w:line="360" w:lineRule="auto" w:before="120" w:after="120"/>
        <w:jc w:val="both"/>
      </w:pPr>
      <w:r>
        <w:rPr>
          <w:rFonts w:ascii="Times New Roman" w:hAnsi="Times New Roman" w:eastAsia="Times New Roman"/>
          <w:b w:val="0"/>
          <w:i w:val="0"/>
        </w:rPr>
        <w:t>I БҮЛЭГ. СУДЛАГДСАН БАЙДАЛ</w:t>
      </w:r>
    </w:p>
    <w:p>
      <w:pPr>
        <w:spacing w:line="360" w:lineRule="auto" w:before="120" w:after="120"/>
        <w:jc w:val="both"/>
      </w:pPr>
      <w:r>
        <w:rPr>
          <w:rFonts w:ascii="Times New Roman" w:hAnsi="Times New Roman" w:eastAsia="Times New Roman"/>
          <w:b w:val="0"/>
          <w:i w:val="0"/>
        </w:rPr>
        <w:t>II БҮЛЭГ. АРГА ЗҮЙ</w:t>
      </w:r>
    </w:p>
    <w:p>
      <w:pPr>
        <w:spacing w:line="360" w:lineRule="auto" w:before="120" w:after="120"/>
        <w:jc w:val="both"/>
      </w:pPr>
      <w:r>
        <w:rPr>
          <w:rFonts w:ascii="Times New Roman" w:hAnsi="Times New Roman" w:eastAsia="Times New Roman"/>
          <w:b w:val="0"/>
          <w:i w:val="0"/>
        </w:rPr>
        <w:t>III БҮЛЭГ. ӨГӨГДӨЛ БА ХУВЬСАГЧИД</w:t>
      </w:r>
    </w:p>
    <w:p>
      <w:pPr>
        <w:spacing w:line="360" w:lineRule="auto" w:before="120" w:after="120"/>
        <w:jc w:val="both"/>
      </w:pPr>
      <w:r>
        <w:rPr>
          <w:rFonts w:ascii="Times New Roman" w:hAnsi="Times New Roman" w:eastAsia="Times New Roman"/>
          <w:b w:val="0"/>
          <w:i w:val="0"/>
        </w:rPr>
        <w:t>IV БҮЛЭГ. ШИНЖИЛГЭЭНИЙ ҮР ДҮН</w:t>
      </w:r>
    </w:p>
    <w:p>
      <w:pPr>
        <w:spacing w:line="360" w:lineRule="auto" w:before="120" w:after="120"/>
        <w:jc w:val="both"/>
      </w:pPr>
      <w:r>
        <w:rPr>
          <w:rFonts w:ascii="Times New Roman" w:hAnsi="Times New Roman" w:eastAsia="Times New Roman"/>
          <w:b w:val="0"/>
          <w:i w:val="0"/>
        </w:rPr>
        <w:t>V БҮЛЭГ. ДҮГНЭЛТ БА ТАЙЛАНД АШИГЛАХ ЗӨВЛӨМЖ</w:t>
      </w:r>
    </w:p>
    <w:p>
      <w:pPr>
        <w:spacing w:line="360" w:lineRule="auto" w:before="120" w:after="120"/>
        <w:jc w:val="both"/>
      </w:pPr>
      <w:r>
        <w:rPr>
          <w:rFonts w:ascii="Times New Roman" w:hAnsi="Times New Roman" w:eastAsia="Times New Roman"/>
          <w:b w:val="0"/>
          <w:i w:val="0"/>
        </w:rPr>
        <w:t>НОМ ЗҮЙ</w:t>
      </w:r>
    </w:p>
    <w:p>
      <w:pPr>
        <w:spacing w:line="360" w:lineRule="auto" w:before="120" w:after="120"/>
        <w:jc w:val="both"/>
      </w:pPr>
      <w:r>
        <w:rPr>
          <w:rFonts w:ascii="Times New Roman" w:hAnsi="Times New Roman" w:eastAsia="Times New Roman"/>
          <w:b w:val="0"/>
          <w:i w:val="0"/>
        </w:rPr>
        <w:t>ХАВСРАЛТ</w:t>
      </w:r>
    </w:p>
    <w:p>
      <w:pPr>
        <w:spacing w:before="240" w:after="120"/>
        <w:jc w:val="left"/>
      </w:pPr>
      <w:r>
        <w:rPr>
          <w:rFonts w:ascii="Times New Roman" w:hAnsi="Times New Roman" w:eastAsia="Times New Roman"/>
          <w:b/>
          <w:sz w:val="28"/>
        </w:rPr>
        <w:t>ХҮСНЭГТЭН МЭДЭЭЛЛИЙН ЖАГСААЛТ</w:t>
      </w:r>
    </w:p>
    <w:p>
      <w:pPr>
        <w:spacing w:line="360" w:lineRule="auto" w:before="120" w:after="120"/>
        <w:jc w:val="both"/>
      </w:pPr>
      <w:r>
        <w:rPr>
          <w:rFonts w:ascii="Times New Roman" w:hAnsi="Times New Roman" w:eastAsia="Times New Roman"/>
          <w:b w:val="0"/>
          <w:i w:val="0"/>
        </w:rPr>
        <w:t>Хүснэгт 1. Instrumental Forest шинжилгээний загварын бүтэц</w:t>
      </w:r>
    </w:p>
    <w:p>
      <w:pPr>
        <w:spacing w:line="360" w:lineRule="auto" w:before="120" w:after="120"/>
        <w:jc w:val="both"/>
      </w:pPr>
      <w:r>
        <w:rPr>
          <w:rFonts w:ascii="Times New Roman" w:hAnsi="Times New Roman" w:eastAsia="Times New Roman"/>
          <w:b w:val="0"/>
          <w:i w:val="0"/>
        </w:rPr>
        <w:t>Хүснэгт 2. Local IV өгөөжийн үндсэн статистик</w:t>
      </w:r>
    </w:p>
    <w:p>
      <w:pPr>
        <w:spacing w:line="360" w:lineRule="auto" w:before="120" w:after="120"/>
        <w:jc w:val="both"/>
      </w:pPr>
      <w:r>
        <w:rPr>
          <w:rFonts w:ascii="Times New Roman" w:hAnsi="Times New Roman" w:eastAsia="Times New Roman"/>
          <w:b w:val="0"/>
          <w:i w:val="0"/>
        </w:rPr>
        <w:t>Хүснэгт 3. Local IV өгөөжийн квартил бүлгүүдийн харьцуулалт</w:t>
      </w:r>
    </w:p>
    <w:p>
      <w:pPr>
        <w:spacing w:line="360" w:lineRule="auto" w:before="120" w:after="120"/>
        <w:jc w:val="both"/>
      </w:pPr>
      <w:r>
        <w:rPr>
          <w:rFonts w:ascii="Times New Roman" w:hAnsi="Times New Roman" w:eastAsia="Times New Roman"/>
          <w:b w:val="0"/>
          <w:i w:val="0"/>
        </w:rPr>
        <w:t>Хүснэгт 4. STR босгоны регимээр харьцуулсан Instrumental Forest үр дүн</w:t>
      </w:r>
    </w:p>
    <w:p>
      <w:pPr>
        <w:spacing w:line="360" w:lineRule="auto" w:before="120" w:after="120"/>
        <w:jc w:val="both"/>
      </w:pPr>
      <w:r>
        <w:rPr>
          <w:rFonts w:ascii="Times New Roman" w:hAnsi="Times New Roman" w:eastAsia="Times New Roman"/>
          <w:b w:val="0"/>
          <w:i w:val="0"/>
        </w:rPr>
        <w:t>Хүснэгт 5. Variable importance-ийн нэгтгэл</w:t>
      </w:r>
    </w:p>
    <w:p>
      <w:pPr>
        <w:spacing w:before="240" w:after="120"/>
        <w:jc w:val="left"/>
      </w:pPr>
      <w:r>
        <w:rPr>
          <w:rFonts w:ascii="Times New Roman" w:hAnsi="Times New Roman" w:eastAsia="Times New Roman"/>
          <w:b/>
          <w:sz w:val="28"/>
        </w:rPr>
        <w:t>ЗУРГАН МЭДЭЭЛЛИЙН ЖАГСААЛТ</w:t>
      </w:r>
    </w:p>
    <w:p>
      <w:pPr>
        <w:spacing w:line="360" w:lineRule="auto" w:before="120" w:after="120"/>
        <w:jc w:val="both"/>
      </w:pPr>
      <w:r>
        <w:rPr>
          <w:rFonts w:ascii="Times New Roman" w:hAnsi="Times New Roman" w:eastAsia="Times New Roman"/>
          <w:b w:val="0"/>
          <w:i w:val="0"/>
        </w:rPr>
        <w:t>Зураг 1. Instrumental Forest өгөөжийн тархалт</w:t>
      </w:r>
    </w:p>
    <w:p>
      <w:pPr>
        <w:spacing w:line="360" w:lineRule="auto" w:before="120" w:after="120"/>
        <w:jc w:val="both"/>
      </w:pPr>
      <w:r>
        <w:rPr>
          <w:rFonts w:ascii="Times New Roman" w:hAnsi="Times New Roman" w:eastAsia="Times New Roman"/>
          <w:b w:val="0"/>
          <w:i w:val="0"/>
        </w:rPr>
        <w:t>Зураг 2. Local IV өгөөж ба сурагч-багшийн харьцааны хамаарал</w:t>
      </w:r>
    </w:p>
    <w:p>
      <w:pPr>
        <w:spacing w:line="360" w:lineRule="auto" w:before="120" w:after="120"/>
        <w:jc w:val="both"/>
      </w:pPr>
      <w:r>
        <w:rPr>
          <w:rFonts w:ascii="Times New Roman" w:hAnsi="Times New Roman" w:eastAsia="Times New Roman"/>
          <w:b w:val="0"/>
          <w:i w:val="0"/>
        </w:rPr>
        <w:t>Зураг 3. Өгөөжийн ялгааг тайлбарлах хувьсагчдын ач холбогдол</w:t>
      </w:r>
    </w:p>
    <w:p>
      <w:pPr>
        <w:spacing w:before="240" w:after="120"/>
        <w:jc w:val="left"/>
      </w:pPr>
      <w:r>
        <w:rPr>
          <w:rFonts w:ascii="Times New Roman" w:hAnsi="Times New Roman" w:eastAsia="Times New Roman"/>
          <w:b/>
          <w:sz w:val="28"/>
        </w:rPr>
        <w:t>ТОВЧИЛСОН ҮГС</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EAF7"/>
            <w:vAlign w:val="center"/>
          </w:tcPr>
          <w:p>
            <w:pPr>
              <w:jc w:val="center"/>
            </w:pPr>
            <w:r>
              <w:rPr>
                <w:rFonts w:ascii="Times New Roman" w:hAnsi="Times New Roman" w:eastAsia="Times New Roman"/>
                <w:b/>
                <w:sz w:val="20"/>
              </w:rPr>
              <w:t>Товчлол</w:t>
            </w:r>
          </w:p>
        </w:tc>
        <w:tc>
          <w:tcPr>
            <w:tcW w:type="dxa" w:w="2835"/>
            <w:shd w:fill="D9EAF7"/>
            <w:vAlign w:val="center"/>
          </w:tcPr>
          <w:p>
            <w:pPr>
              <w:jc w:val="center"/>
            </w:pPr>
            <w:r>
              <w:rPr>
                <w:rFonts w:ascii="Times New Roman" w:hAnsi="Times New Roman" w:eastAsia="Times New Roman"/>
                <w:b/>
                <w:sz w:val="20"/>
              </w:rPr>
              <w:t>Англи нэр</w:t>
            </w:r>
          </w:p>
        </w:tc>
        <w:tc>
          <w:tcPr>
            <w:tcW w:type="dxa" w:w="4535"/>
            <w:shd w:fill="D9EAF7"/>
            <w:vAlign w:val="center"/>
          </w:tcPr>
          <w:p>
            <w:pPr>
              <w:jc w:val="center"/>
            </w:pPr>
            <w:r>
              <w:rPr>
                <w:rFonts w:ascii="Times New Roman" w:hAnsi="Times New Roman" w:eastAsia="Times New Roman"/>
                <w:b/>
                <w:sz w:val="20"/>
              </w:rPr>
              <w:t>Монгол тайлбар</w:t>
            </w:r>
          </w:p>
        </w:tc>
      </w:tr>
      <w:tr>
        <w:tc>
          <w:tcPr>
            <w:tcW w:type="dxa" w:w="1417"/>
            <w:vAlign w:val="center"/>
          </w:tcPr>
          <w:p>
            <w:pPr>
              <w:jc w:val="left"/>
            </w:pPr>
            <w:r>
              <w:rPr>
                <w:rFonts w:ascii="Times New Roman" w:hAnsi="Times New Roman" w:eastAsia="Times New Roman"/>
                <w:sz w:val="20"/>
              </w:rPr>
              <w:t>IF</w:t>
            </w:r>
          </w:p>
        </w:tc>
        <w:tc>
          <w:tcPr>
            <w:tcW w:type="dxa" w:w="2835"/>
            <w:vAlign w:val="center"/>
          </w:tcPr>
          <w:p>
            <w:pPr>
              <w:jc w:val="center"/>
            </w:pPr>
            <w:r>
              <w:rPr>
                <w:rFonts w:ascii="Times New Roman" w:hAnsi="Times New Roman" w:eastAsia="Times New Roman"/>
                <w:sz w:val="20"/>
              </w:rPr>
              <w:t>Instrumental Forest</w:t>
            </w:r>
          </w:p>
        </w:tc>
        <w:tc>
          <w:tcPr>
            <w:tcW w:type="dxa" w:w="4535"/>
            <w:vAlign w:val="center"/>
          </w:tcPr>
          <w:p>
            <w:pPr>
              <w:jc w:val="center"/>
            </w:pPr>
            <w:r>
              <w:rPr>
                <w:rFonts w:ascii="Times New Roman" w:hAnsi="Times New Roman" w:eastAsia="Times New Roman"/>
                <w:sz w:val="20"/>
              </w:rPr>
              <w:t>Хэрэгсэл хувьсагчтай ой загвар</w:t>
            </w:r>
          </w:p>
        </w:tc>
      </w:tr>
      <w:tr>
        <w:tc>
          <w:tcPr>
            <w:tcW w:type="dxa" w:w="1417"/>
            <w:vAlign w:val="center"/>
          </w:tcPr>
          <w:p>
            <w:pPr>
              <w:jc w:val="left"/>
            </w:pPr>
            <w:r>
              <w:rPr>
                <w:rFonts w:ascii="Times New Roman" w:hAnsi="Times New Roman" w:eastAsia="Times New Roman"/>
                <w:sz w:val="20"/>
              </w:rPr>
              <w:t>IV</w:t>
            </w:r>
          </w:p>
        </w:tc>
        <w:tc>
          <w:tcPr>
            <w:tcW w:type="dxa" w:w="2835"/>
            <w:vAlign w:val="center"/>
          </w:tcPr>
          <w:p>
            <w:pPr>
              <w:jc w:val="center"/>
            </w:pPr>
            <w:r>
              <w:rPr>
                <w:rFonts w:ascii="Times New Roman" w:hAnsi="Times New Roman" w:eastAsia="Times New Roman"/>
                <w:sz w:val="20"/>
              </w:rPr>
              <w:t>Instrumental Variable</w:t>
            </w:r>
          </w:p>
        </w:tc>
        <w:tc>
          <w:tcPr>
            <w:tcW w:type="dxa" w:w="4535"/>
            <w:vAlign w:val="center"/>
          </w:tcPr>
          <w:p>
            <w:pPr>
              <w:jc w:val="center"/>
            </w:pPr>
            <w:r>
              <w:rPr>
                <w:rFonts w:ascii="Times New Roman" w:hAnsi="Times New Roman" w:eastAsia="Times New Roman"/>
                <w:sz w:val="20"/>
              </w:rPr>
              <w:t>Хэрэгсэл хувьсагч</w:t>
            </w:r>
          </w:p>
        </w:tc>
      </w:tr>
      <w:tr>
        <w:tc>
          <w:tcPr>
            <w:tcW w:type="dxa" w:w="1417"/>
            <w:vAlign w:val="center"/>
          </w:tcPr>
          <w:p>
            <w:pPr>
              <w:jc w:val="left"/>
            </w:pPr>
            <w:r>
              <w:rPr>
                <w:rFonts w:ascii="Times New Roman" w:hAnsi="Times New Roman" w:eastAsia="Times New Roman"/>
                <w:sz w:val="20"/>
              </w:rPr>
              <w:t>ХШХБК</w:t>
            </w:r>
          </w:p>
        </w:tc>
        <w:tc>
          <w:tcPr>
            <w:tcW w:type="dxa" w:w="2835"/>
            <w:vAlign w:val="center"/>
          </w:tcPr>
          <w:p>
            <w:pPr>
              <w:jc w:val="center"/>
            </w:pPr>
            <w:r>
              <w:rPr>
                <w:rFonts w:ascii="Times New Roman" w:hAnsi="Times New Roman" w:eastAsia="Times New Roman"/>
                <w:sz w:val="20"/>
              </w:rPr>
              <w:t>Two-Stage Least Squares</w:t>
            </w:r>
          </w:p>
        </w:tc>
        <w:tc>
          <w:tcPr>
            <w:tcW w:type="dxa" w:w="4535"/>
            <w:vAlign w:val="center"/>
          </w:tcPr>
          <w:p>
            <w:pPr>
              <w:jc w:val="center"/>
            </w:pPr>
            <w:r>
              <w:rPr>
                <w:rFonts w:ascii="Times New Roman" w:hAnsi="Times New Roman" w:eastAsia="Times New Roman"/>
                <w:sz w:val="20"/>
              </w:rPr>
              <w:t>Хоёр шатлалт хамгийн бага квадратын арга</w:t>
            </w:r>
          </w:p>
        </w:tc>
      </w:tr>
      <w:tr>
        <w:tc>
          <w:tcPr>
            <w:tcW w:type="dxa" w:w="1417"/>
            <w:vAlign w:val="center"/>
          </w:tcPr>
          <w:p>
            <w:pPr>
              <w:jc w:val="left"/>
            </w:pPr>
            <w:r>
              <w:rPr>
                <w:rFonts w:ascii="Times New Roman" w:hAnsi="Times New Roman" w:eastAsia="Times New Roman"/>
                <w:sz w:val="20"/>
              </w:rPr>
              <w:t>ХХБР</w:t>
            </w:r>
          </w:p>
        </w:tc>
        <w:tc>
          <w:tcPr>
            <w:tcW w:type="dxa" w:w="2835"/>
            <w:vAlign w:val="center"/>
          </w:tcPr>
          <w:p>
            <w:pPr>
              <w:jc w:val="center"/>
            </w:pPr>
            <w:r>
              <w:rPr>
                <w:rFonts w:ascii="Times New Roman" w:hAnsi="Times New Roman" w:eastAsia="Times New Roman"/>
                <w:sz w:val="20"/>
              </w:rPr>
              <w:t>IV Threshold Regression</w:t>
            </w:r>
          </w:p>
        </w:tc>
        <w:tc>
          <w:tcPr>
            <w:tcW w:type="dxa" w:w="4535"/>
            <w:vAlign w:val="center"/>
          </w:tcPr>
          <w:p>
            <w:pPr>
              <w:jc w:val="center"/>
            </w:pPr>
            <w:r>
              <w:rPr>
                <w:rFonts w:ascii="Times New Roman" w:hAnsi="Times New Roman" w:eastAsia="Times New Roman"/>
                <w:sz w:val="20"/>
              </w:rPr>
              <w:t>Хэрэгсэл хувьсагчтай босго утгат регресс</w:t>
            </w:r>
          </w:p>
        </w:tc>
      </w:tr>
      <w:tr>
        <w:tc>
          <w:tcPr>
            <w:tcW w:type="dxa" w:w="1417"/>
            <w:vAlign w:val="center"/>
          </w:tcPr>
          <w:p>
            <w:pPr>
              <w:jc w:val="left"/>
            </w:pPr>
            <w:r>
              <w:rPr>
                <w:rFonts w:ascii="Times New Roman" w:hAnsi="Times New Roman" w:eastAsia="Times New Roman"/>
                <w:sz w:val="20"/>
              </w:rPr>
              <w:t>STR</w:t>
            </w:r>
          </w:p>
        </w:tc>
        <w:tc>
          <w:tcPr>
            <w:tcW w:type="dxa" w:w="2835"/>
            <w:vAlign w:val="center"/>
          </w:tcPr>
          <w:p>
            <w:pPr>
              <w:jc w:val="center"/>
            </w:pPr>
            <w:r>
              <w:rPr>
                <w:rFonts w:ascii="Times New Roman" w:hAnsi="Times New Roman" w:eastAsia="Times New Roman"/>
                <w:sz w:val="20"/>
              </w:rPr>
              <w:t>Student-Teacher Ratio</w:t>
            </w:r>
          </w:p>
        </w:tc>
        <w:tc>
          <w:tcPr>
            <w:tcW w:type="dxa" w:w="4535"/>
            <w:vAlign w:val="center"/>
          </w:tcPr>
          <w:p>
            <w:pPr>
              <w:jc w:val="center"/>
            </w:pPr>
            <w:r>
              <w:rPr>
                <w:rFonts w:ascii="Times New Roman" w:hAnsi="Times New Roman" w:eastAsia="Times New Roman"/>
                <w:sz w:val="20"/>
              </w:rPr>
              <w:t>Нэг багшид ногдох сурагчийн тоо</w:t>
            </w:r>
          </w:p>
        </w:tc>
      </w:tr>
    </w:tbl>
    <w:p>
      <w:r>
        <w:br w:type="page"/>
      </w:r>
    </w:p>
    <w:p>
      <w:pPr>
        <w:spacing w:before="240" w:after="120"/>
        <w:jc w:val="left"/>
      </w:pPr>
      <w:r>
        <w:rPr>
          <w:rFonts w:ascii="Times New Roman" w:hAnsi="Times New Roman" w:eastAsia="Times New Roman"/>
          <w:b/>
          <w:sz w:val="28"/>
        </w:rPr>
        <w:t>ХУРААНГУЙ</w:t>
      </w:r>
    </w:p>
    <w:p>
      <w:pPr>
        <w:spacing w:line="360" w:lineRule="auto" w:before="120" w:after="120"/>
        <w:ind w:firstLine="709"/>
        <w:jc w:val="both"/>
      </w:pPr>
      <w:r>
        <w:rPr>
          <w:rFonts w:ascii="Times New Roman" w:hAnsi="Times New Roman" w:eastAsia="Times New Roman"/>
          <w:b w:val="0"/>
          <w:i w:val="0"/>
        </w:rPr>
        <w:t>Энэхүү нэмэлт тайлангаар Монгол Улсад боловсролын нэг жилийн цалингийн өгөөж хувь хүн, сургуулийн орчин, бүс нутгийн шинжүүдээр ялгаатай эсэхийг Instrumental Forest буюу хэрэгсэл хувьсагчтай ой загвар ашиглан эрэл хайгуулын байдлаар шалгав. Үндсэн судалгаанд боловсролын жил нь эндоген тайлбарлагч, эцэг эхийн боловсролын дундаж нь хэрэгсэл хувьсагч, харин 17-18 насны сурагч-багшийн дундаж харьцаа нь босго хувьсагчийн үүрэгтэй байсан. Энэхүү тайланд уг суурь логикийг хадгалж, өгөөжийн ялгаатай байдлыг нэг урьдчилан сонгосон босгоор хязгаарлахгүйгээр, нас, хүйс, гэрлэлтийн байдал, хотжилт, сургуулийн хүртээмж, сурагч-багшийн харьцаа, төрсөн үе, судалгааны давалгаа зэрэг шинжүүдтэй хамтатган үнэлэв.</w:t>
      </w:r>
    </w:p>
    <w:p>
      <w:pPr>
        <w:spacing w:line="360" w:lineRule="auto" w:before="120" w:after="120"/>
        <w:ind w:firstLine="709"/>
        <w:jc w:val="both"/>
      </w:pPr>
      <w:r>
        <w:rPr>
          <w:rFonts w:ascii="Times New Roman" w:hAnsi="Times New Roman" w:eastAsia="Times New Roman"/>
          <w:b w:val="0"/>
          <w:i w:val="0"/>
        </w:rPr>
        <w:t>Шинжилгээнд үндсэн ХХБР түүврийн 3,188 ажиглалтыг ашиглаж, 2,000 модтой Instrumental Forest загвар байгуулсан. Тооцооны үр дүнгээр боловсролын нэг жилийн таамагласан local IV өгөөж дунджаар 11.35 хувь, медианаар 10.58 хувь байна. Local IV өгөөжийн 10-90 хувийн муж 6.92-16.84 хувь байгаа нь боловсролын өгөөж нэг дундаж коэффициентоор бүрэн тайлбарлагдахгүй, бүлэг хоорондын ялгаатай байдлыг агуулж байгааг харуулна.</w:t>
      </w:r>
    </w:p>
    <w:p>
      <w:pPr>
        <w:spacing w:line="360" w:lineRule="auto" w:before="120" w:after="120"/>
        <w:ind w:firstLine="709"/>
        <w:jc w:val="both"/>
      </w:pPr>
      <w:r>
        <w:rPr>
          <w:rFonts w:ascii="Times New Roman" w:hAnsi="Times New Roman" w:eastAsia="Times New Roman"/>
          <w:b w:val="0"/>
          <w:i w:val="0"/>
        </w:rPr>
        <w:t>Variable importance-ийн үр дүнгээс харахад өгөөжийн ялгааг ялгахад хувийн шинжүүд хамгийн өндөр ач холбогдолтой боловч сургуулийн хүртээмж болон сурагч-багшийн харьцаа мөн чухал мэдээлэл өгч байна. Иймээс Instrumental Forest-ийн үр дүн нь үндсэн ХХБР загварын босго үр дүнг орлох бус, харин боловсролын өгөөжийн ялгаа сургуулийн орчин болон хувь хүний шинжүүдтэй хавсарсан олон хэмжээст үзэгдэл болохыг нэмэлтээр харуулж байна.</w:t>
      </w:r>
    </w:p>
    <w:p>
      <w:pPr>
        <w:spacing w:line="360" w:lineRule="auto" w:before="120" w:after="120"/>
        <w:jc w:val="both"/>
      </w:pPr>
      <w:r>
        <w:rPr>
          <w:rFonts w:ascii="Times New Roman" w:hAnsi="Times New Roman" w:eastAsia="Times New Roman"/>
          <w:b w:val="0"/>
          <w:i w:val="0"/>
        </w:rPr>
        <w:t>Түлхүүр үгс: боловсролын өгөөж; Instrumental Forest; хэрэгсэл хувьсагч; машин сургалт; сурагч-багшийн харьцаа.</w:t>
      </w:r>
    </w:p>
    <w:p>
      <w:pPr>
        <w:spacing w:line="360" w:lineRule="auto" w:before="120" w:after="120"/>
        <w:jc w:val="both"/>
      </w:pPr>
      <w:r>
        <w:rPr>
          <w:rFonts w:ascii="Times New Roman" w:hAnsi="Times New Roman" w:eastAsia="Times New Roman"/>
          <w:b w:val="0"/>
          <w:i w:val="0"/>
        </w:rPr>
        <w:t>JEL ангилал: C14, C26, I26, J31.</w:t>
      </w:r>
    </w:p>
    <w:p>
      <w:pPr>
        <w:spacing w:before="240" w:after="120"/>
        <w:jc w:val="left"/>
      </w:pPr>
      <w:r>
        <w:rPr>
          <w:rFonts w:ascii="Times New Roman" w:hAnsi="Times New Roman" w:eastAsia="Times New Roman"/>
          <w:b/>
          <w:sz w:val="28"/>
        </w:rPr>
        <w:t>ОРШИЛ</w:t>
      </w:r>
    </w:p>
    <w:p>
      <w:pPr>
        <w:spacing w:line="360" w:lineRule="auto" w:before="120" w:after="120"/>
        <w:ind w:firstLine="709"/>
        <w:jc w:val="both"/>
      </w:pPr>
      <w:r>
        <w:rPr>
          <w:rFonts w:ascii="Times New Roman" w:hAnsi="Times New Roman" w:eastAsia="Times New Roman"/>
          <w:b w:val="0"/>
          <w:i w:val="0"/>
        </w:rPr>
        <w:t>Боловсролын эдийн засгийн өгөөжийг үнэлэх судалгаанд дундаж коэффициент нь бодлогын ерөнхий чиглэлийг тодорхойлоход ашигтай боловч бүх бүлэгт адил үйлчилдэг гэж үзэхэд хэт ерөнхий дүгнэлт болох эрсдэлтэй. Хөдөлмөрийн зах зээл, сургуулийн чанар, гэр бүлийн суурь нөхцөл, хот хөдөөгийн ялгаа зэрэг хүчин зүйлс боловсролын нэг жилийн цалингийн өгөөжийг өөр өөрөөр илэрхийлж болно. Иймээс орчин үеийн хөдөлмөрийн эдийн засагт боловсролын өгөөжийн ялгаатай байдлыг буюу heterogeneous returns to schooling-ийг тусгайлан авч үзэх шаардлага нэмэгдэж байна.</w:t>
      </w:r>
    </w:p>
    <w:p>
      <w:pPr>
        <w:spacing w:line="360" w:lineRule="auto" w:before="120" w:after="120"/>
        <w:ind w:firstLine="709"/>
        <w:jc w:val="both"/>
      </w:pPr>
      <w:r>
        <w:rPr>
          <w:rFonts w:ascii="Times New Roman" w:hAnsi="Times New Roman" w:eastAsia="Times New Roman"/>
          <w:b w:val="0"/>
          <w:i w:val="0"/>
        </w:rPr>
        <w:t>Үндсэн судалгаанд боловсролын өгөөжийг ЭХБК, ХШХБК болон ХХБР загваруудаар үнэлж, 17-18 насанд харгалзах сурагч-багшийн дундаж харьцаагаар тодорхойлогдох сургуулийн орчны босгоны ялгааг шалгасан. Тус үр дүн нь боловсролын өгөөж нэг шугаман дундаж тоогоор хязгаарлагдахгүй байж болохыг харуулсан боловч нэг босго сонголтод тулгуурласан арга тул нэмэлт эрэл хайгуулын шалгалт шаардана.</w:t>
      </w:r>
    </w:p>
    <w:p>
      <w:pPr>
        <w:spacing w:line="360" w:lineRule="auto" w:before="120" w:after="120"/>
        <w:ind w:firstLine="709"/>
        <w:jc w:val="both"/>
      </w:pPr>
      <w:r>
        <w:rPr>
          <w:rFonts w:ascii="Times New Roman" w:hAnsi="Times New Roman" w:eastAsia="Times New Roman"/>
          <w:b w:val="0"/>
          <w:i w:val="0"/>
        </w:rPr>
        <w:t>Энэ нэмэлт тайлангийн зорилго нь Instrumental Forest аргыг ашиглан боловсролын өгөөжийн ялгаатай байдлыг өгөгдөлд суурилсан хэлбэрээр дүрслэх явдал юм. Ингэхдээ үндсэн шалтгаант тайлбарыг өөрчлөхгүй, харин ХХБР загвараар илэрсэн босгоны үр дүн олон шинжтэй хавсарсан heterogeneity-ийн нэг хэсэг мөн эсэхийг шалгах supplementary evidence гаргана.</w:t>
      </w:r>
    </w:p>
    <w:p>
      <w:pPr>
        <w:spacing w:line="360" w:lineRule="auto" w:before="120" w:after="120"/>
        <w:ind w:firstLine="709"/>
        <w:jc w:val="both"/>
      </w:pPr>
      <w:r>
        <w:rPr>
          <w:rFonts w:ascii="Times New Roman" w:hAnsi="Times New Roman" w:eastAsia="Times New Roman"/>
          <w:b w:val="0"/>
          <w:i w:val="0"/>
        </w:rPr>
        <w:t>Судалгааны ажил таван үндсэн хэсгээс бүрдэнэ. Нэгдүгээр бүлэгт боловсролын өгөөж, heterogeneous treatment effect болон Instrumental Forest аргын судлагдсан байдлыг товч танилцуулна. Хоёрдугаар бүлэгт загварын арга зүй, хувьсагчдын үүргийг тайлбарлана. Гуравдугаар бүлэгт өгөгдлийн бүтэц, шинжилгээний түүврийг танилцуулна. Дөрөвдүгээр бүлэгт local IV өгөөжийн тархалт, STR-тэй уялдах дүр зураг, variable importance-ийн үр дүнг тайлбарлана. Тавдугаар бүлэгт уг нэмэлт шинжилгээг үндсэн тайланд хэрхэн болгоомжтой ашиглах зөвлөмжийг нэгтгэнэ.</w:t>
      </w:r>
    </w:p>
    <w:p>
      <w:pPr>
        <w:spacing w:before="240" w:after="120"/>
        <w:jc w:val="left"/>
      </w:pPr>
      <w:r>
        <w:rPr>
          <w:rFonts w:ascii="Times New Roman" w:hAnsi="Times New Roman" w:eastAsia="Times New Roman"/>
          <w:b/>
          <w:sz w:val="28"/>
        </w:rPr>
        <w:t>I БҮЛЭГ. СУДЛАГДСАН БАЙДАЛ</w:t>
      </w:r>
    </w:p>
    <w:p>
      <w:pPr>
        <w:spacing w:before="240" w:after="120"/>
        <w:jc w:val="left"/>
      </w:pPr>
      <w:r>
        <w:rPr>
          <w:rFonts w:ascii="Times New Roman" w:hAnsi="Times New Roman" w:eastAsia="Times New Roman"/>
          <w:b/>
          <w:sz w:val="24"/>
        </w:rPr>
        <w:t>1.1. Боловсролын өгөөж ба ялгаатай нөлөө</w:t>
      </w:r>
    </w:p>
    <w:p>
      <w:pPr>
        <w:spacing w:line="360" w:lineRule="auto" w:before="120" w:after="120"/>
        <w:ind w:firstLine="709"/>
        <w:jc w:val="both"/>
      </w:pPr>
      <w:r>
        <w:rPr>
          <w:rFonts w:ascii="Times New Roman" w:hAnsi="Times New Roman" w:eastAsia="Times New Roman"/>
          <w:b w:val="0"/>
          <w:i w:val="0"/>
        </w:rPr>
        <w:t>Боловсролын өгөөжийн судалгааны суурь нь Минсерийн цалингийн тэгшитгэл бөгөөд боловсролын нэмэлт нэг жил хөдөлмөрийн орлоготой хэрхэн холбогдохыг үнэлдэг (Mincer, 1974). Гэвч боловсролын сонголт санамсаргүй бус байдаг тул ЭХБК үнэлгээ нь ажиглагдахгүй чадвар, гэр бүлийн суурь нөхцөл, боловсролын хэмжилтийн алдаанаас шалтгаалан хазайлттай байж болно. Card (1999) боловсролын өгөөжийг үнэлэхэд хэрэгсэл хувьсагчийн арга чухал боловч үр дүнг identification-ийн таамаглалтай хамт болгоомжтой тайлбарлах шаардлагатайг онцолсон.</w:t>
      </w:r>
    </w:p>
    <w:p>
      <w:pPr>
        <w:spacing w:line="360" w:lineRule="auto" w:before="120" w:after="120"/>
        <w:ind w:firstLine="709"/>
        <w:jc w:val="both"/>
      </w:pPr>
      <w:r>
        <w:rPr>
          <w:rFonts w:ascii="Times New Roman" w:hAnsi="Times New Roman" w:eastAsia="Times New Roman"/>
          <w:b w:val="0"/>
          <w:i w:val="0"/>
        </w:rPr>
        <w:t>Боловсролын өгөөж зөвхөн дундаж түвшинд бус, тухайн хүний сурсан орчин, хөдөлмөрийн зах зээлийн боломж, хотжилт, гэр бүлийн боловсролын түвшин зэргээс хамааран ялгаатай илэрч болно. Энэ санаа нь олон улсын боловсролын эдийн засгийн судалгаанд heterogeneous treatment effect гэсэн ерөнхий ойлголтоор хөгжсөн бөгөөд бодлогын дүгнэлт хийхэд дундаж өгөөжөөс гадна хэнд илүү өндөр, хэнд бага өгөөж илэрч буйг харах шаардлагатай болгодог.</w:t>
      </w:r>
    </w:p>
    <w:p>
      <w:pPr>
        <w:spacing w:before="240" w:after="120"/>
        <w:jc w:val="left"/>
      </w:pPr>
      <w:r>
        <w:rPr>
          <w:rFonts w:ascii="Times New Roman" w:hAnsi="Times New Roman" w:eastAsia="Times New Roman"/>
          <w:b/>
          <w:sz w:val="24"/>
        </w:rPr>
        <w:t>1.2. Machine learning ба causal forest чиглэлийн хэрэглээ</w:t>
      </w:r>
    </w:p>
    <w:p>
      <w:pPr>
        <w:spacing w:line="360" w:lineRule="auto" w:before="120" w:after="120"/>
        <w:ind w:firstLine="709"/>
        <w:jc w:val="both"/>
      </w:pPr>
      <w:r>
        <w:rPr>
          <w:rFonts w:ascii="Times New Roman" w:hAnsi="Times New Roman" w:eastAsia="Times New Roman"/>
          <w:b w:val="0"/>
          <w:i w:val="0"/>
        </w:rPr>
        <w:t>Athey, Tibshirani, and Wager (2019) нар causal forest аргыг боловсруулж, treatment effect-ийн ялгаатай байдлыг decision tree болон random forest-ийн санаанд тулгуурлан үнэлэх боломжийг харуулсан. Chernozhukov et al. (2018)-ийн double/debiased machine learning чиглэл нь nuisance function-уудыг machine learning-ээр тооцоолохын зэрэгцээ шалтгаант параметрийг хамгаалалттай үнэлэх арга зүйн суурийг өргөжүүлсэн. Instrumental Forest нь энэ урсгалын хүрээнд эндоген тайлбарлагчтай нөхцөлд локал IV өгөөжийг өгөгдлийн шинжүүдээр ялган харах боломж олгодог.</w:t>
      </w:r>
    </w:p>
    <w:p>
      <w:pPr>
        <w:spacing w:line="360" w:lineRule="auto" w:before="120" w:after="120"/>
        <w:ind w:firstLine="709"/>
        <w:jc w:val="both"/>
      </w:pPr>
      <w:r>
        <w:rPr>
          <w:rFonts w:ascii="Times New Roman" w:hAnsi="Times New Roman" w:eastAsia="Times New Roman"/>
          <w:b w:val="0"/>
          <w:i w:val="0"/>
        </w:rPr>
        <w:t>Энэхүү тайланд Instrumental Forest-ийг үндсэн causal proof болгон бус, ХХБР загварын нэмэлт шалгалт болгон ашиглаж байна. Ингэснээр нэг босгоны сонголтоос үүдэх хэт хамаарлыг бууруулж, боловсролын өгөөжийн ялгаа хувь хүний болон сургуулийн орчны олон шинжтэй хамт илэрч байгаа эсэхийг дүрслэх боломж бүрдэнэ.</w:t>
      </w:r>
    </w:p>
    <w:p>
      <w:pPr>
        <w:spacing w:before="240" w:after="120"/>
        <w:jc w:val="left"/>
      </w:pPr>
      <w:r>
        <w:rPr>
          <w:rFonts w:ascii="Times New Roman" w:hAnsi="Times New Roman" w:eastAsia="Times New Roman"/>
          <w:b/>
          <w:sz w:val="28"/>
        </w:rPr>
        <w:t>II БҮЛЭГ. АРГА ЗҮЙ</w:t>
      </w:r>
    </w:p>
    <w:p>
      <w:pPr>
        <w:spacing w:before="240" w:after="120"/>
        <w:jc w:val="left"/>
      </w:pPr>
      <w:r>
        <w:rPr>
          <w:rFonts w:ascii="Times New Roman" w:hAnsi="Times New Roman" w:eastAsia="Times New Roman"/>
          <w:b/>
          <w:sz w:val="24"/>
        </w:rPr>
        <w:t>2.1. Загварын үндсэн логик</w:t>
      </w:r>
    </w:p>
    <w:p>
      <w:pPr>
        <w:spacing w:line="360" w:lineRule="auto" w:before="120" w:after="120"/>
        <w:ind w:firstLine="709"/>
        <w:jc w:val="both"/>
      </w:pPr>
      <w:r>
        <w:rPr>
          <w:rFonts w:ascii="Times New Roman" w:hAnsi="Times New Roman" w:eastAsia="Times New Roman"/>
          <w:b w:val="0"/>
          <w:i w:val="0"/>
        </w:rPr>
        <w:t>Instrumental Forest-ийн үндсэн зорилго нь боловсролын нэг жилийн өгөөжийг нэг дундаж коэффициентээр хязгаарлахгүй, харин ажиглагдсан шинжүүдийн нөхцөлд ялгаатай байдлаар таамаглах явдал юм. Судалгаанд дараах тэмдэглэгээг ашиглав.</w:t>
      </w:r>
    </w:p>
    <w:p>
      <w:pPr>
        <w:spacing w:line="360" w:lineRule="auto" w:before="120" w:after="120"/>
        <w:jc w:val="center"/>
      </w:pPr>
      <w:r>
        <w:rPr>
          <w:rFonts w:ascii="Times New Roman" w:hAnsi="Times New Roman" w:eastAsia="Times New Roman"/>
          <w:b w:val="0"/>
          <w:i w:val="0"/>
        </w:rPr>
        <w:t>Y_i = ln(wage_i), W_i = educ_years_i, Z_i = parent_educ_mean_i, X_i = observed characteristics_i. [1]</w:t>
      </w:r>
    </w:p>
    <w:p>
      <w:pPr>
        <w:spacing w:line="360" w:lineRule="auto" w:before="120" w:after="120"/>
        <w:ind w:firstLine="709"/>
        <w:jc w:val="both"/>
      </w:pPr>
      <w:r>
        <w:rPr>
          <w:rFonts w:ascii="Times New Roman" w:hAnsi="Times New Roman" w:eastAsia="Times New Roman"/>
          <w:b w:val="0"/>
          <w:i w:val="0"/>
        </w:rPr>
        <w:t>Энд Y_i нь хувь хүний бодит цагийн цалингийн логарифм, W_i нь боловсролын жил, Z_i нь эцэг эхийн боловсролын дундаж буюу хэрэгсэл хувьсагч, X_i нь нас, хүйс, гэрлэлтийн байдал, хотжилт, сурагч-багшийн харьцаа, сургуулийн хүртээмж, төрсөн аймаг, төрсөн үе, судалгааны давалгаа зэрэг heterogeneity-г тайлбарлах шинжүүд юм.</w:t>
      </w:r>
    </w:p>
    <w:p>
      <w:pPr>
        <w:spacing w:line="360" w:lineRule="auto" w:before="120" w:after="120"/>
        <w:ind w:firstLine="709"/>
        <w:jc w:val="both"/>
      </w:pPr>
      <w:r>
        <w:rPr>
          <w:rFonts w:ascii="Times New Roman" w:hAnsi="Times New Roman" w:eastAsia="Times New Roman"/>
          <w:b w:val="0"/>
          <w:i w:val="0"/>
        </w:rPr>
        <w:t>Загварын тайлбарлах параметрийг дараах байдлаар ойлгоно.</w:t>
      </w:r>
    </w:p>
    <w:p>
      <w:pPr>
        <w:spacing w:line="360" w:lineRule="auto" w:before="120" w:after="120"/>
        <w:jc w:val="center"/>
      </w:pPr>
      <w:r>
        <w:rPr>
          <w:rFonts w:ascii="Times New Roman" w:hAnsi="Times New Roman" w:eastAsia="Times New Roman"/>
          <w:b w:val="0"/>
          <w:i w:val="0"/>
        </w:rPr>
        <w:t>tau(X_i) = local IV return to an additional year of schooling conditional on X_i. [2]</w:t>
      </w:r>
    </w:p>
    <w:p>
      <w:pPr>
        <w:spacing w:line="360" w:lineRule="auto" w:before="120" w:after="120"/>
        <w:ind w:firstLine="709"/>
        <w:jc w:val="both"/>
      </w:pPr>
      <w:r>
        <w:rPr>
          <w:rFonts w:ascii="Times New Roman" w:hAnsi="Times New Roman" w:eastAsia="Times New Roman"/>
          <w:b w:val="0"/>
          <w:i w:val="0"/>
        </w:rPr>
        <w:t>Энэ tau(X_i)-г тухайн хүний яг хувийн causal effect гэж бус, ижил төстэй шинжтэй бүлгийн боловсролын нөхцөлт IV өгөөж гэж тайлбарлана. Иймээс тайлангийн бүх үр дүн exploratory буюу эрэл хайгуулын шинжтэй байна.</w:t>
      </w:r>
    </w:p>
    <w:p>
      <w:pPr>
        <w:spacing w:before="240" w:after="120"/>
        <w:jc w:val="left"/>
      </w:pPr>
      <w:r>
        <w:rPr>
          <w:rFonts w:ascii="Times New Roman" w:hAnsi="Times New Roman" w:eastAsia="Times New Roman"/>
          <w:b/>
          <w:sz w:val="24"/>
        </w:rPr>
        <w:t>2.2. Үндсэн ХХБР загвартай холбогдох байдал</w:t>
      </w:r>
    </w:p>
    <w:p>
      <w:pPr>
        <w:spacing w:line="360" w:lineRule="auto" w:before="120" w:after="120"/>
        <w:ind w:firstLine="709"/>
        <w:jc w:val="both"/>
      </w:pPr>
      <w:r>
        <w:rPr>
          <w:rFonts w:ascii="Times New Roman" w:hAnsi="Times New Roman" w:eastAsia="Times New Roman"/>
          <w:b w:val="0"/>
          <w:i w:val="0"/>
        </w:rPr>
        <w:t>Үндсэн тайлангийн ХХБР загвар 17-18 насны сурагч-багшийн дундаж харьцааны 19.53 орчим босгоор боловсролын өгөөж ялгаатай эсэхийг шалгасан. Instrumental Forest нь уг босгыг урьдчилан гол тайлбарлагч болгон тулгахгүй, харин сурагч-багшийн харьцааг X шинжийн нэг хэсэг болгон оруулж, бусад шинжүүдтэй хамт өгөөжийн ялгааг дүрслэнэ. Энэ нь ХХБР-ийн үр дүнг батлах эсвэл үгүйсгэх ганц тест биш, харин heterogeneity-ийн илүү өргөн зураглал юм.</w:t>
      </w:r>
    </w:p>
    <w:p>
      <w:pPr>
        <w:spacing w:before="120" w:after="40"/>
        <w:jc w:val="left"/>
      </w:pPr>
      <w:r>
        <w:rPr>
          <w:rFonts w:ascii="Times New Roman" w:hAnsi="Times New Roman" w:eastAsia="Times New Roman"/>
          <w:b/>
          <w:i/>
          <w:sz w:val="20"/>
        </w:rPr>
        <w:t>Хүснэгт 1. Instrumental Forest шинжилгээний загварын бүтэц</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EAF7"/>
            <w:vAlign w:val="center"/>
          </w:tcPr>
          <w:p>
            <w:pPr>
              <w:jc w:val="center"/>
            </w:pPr>
            <w:r>
              <w:rPr>
                <w:rFonts w:ascii="Times New Roman" w:hAnsi="Times New Roman" w:eastAsia="Times New Roman"/>
                <w:b/>
                <w:sz w:val="20"/>
              </w:rPr>
              <w:t>Элемент</w:t>
            </w:r>
          </w:p>
        </w:tc>
        <w:tc>
          <w:tcPr>
            <w:tcW w:type="dxa" w:w="2948"/>
            <w:shd w:fill="D9EAF7"/>
            <w:vAlign w:val="center"/>
          </w:tcPr>
          <w:p>
            <w:pPr>
              <w:jc w:val="center"/>
            </w:pPr>
            <w:r>
              <w:rPr>
                <w:rFonts w:ascii="Times New Roman" w:hAnsi="Times New Roman" w:eastAsia="Times New Roman"/>
                <w:b/>
                <w:sz w:val="20"/>
              </w:rPr>
              <w:t>Хувьсагч</w:t>
            </w:r>
          </w:p>
        </w:tc>
        <w:tc>
          <w:tcPr>
            <w:tcW w:type="dxa" w:w="3572"/>
            <w:shd w:fill="D9EAF7"/>
            <w:vAlign w:val="center"/>
          </w:tcPr>
          <w:p>
            <w:pPr>
              <w:jc w:val="center"/>
            </w:pPr>
            <w:r>
              <w:rPr>
                <w:rFonts w:ascii="Times New Roman" w:hAnsi="Times New Roman" w:eastAsia="Times New Roman"/>
                <w:b/>
                <w:sz w:val="20"/>
              </w:rPr>
              <w:t>Тайлбар</w:t>
            </w:r>
          </w:p>
        </w:tc>
      </w:tr>
      <w:tr>
        <w:tc>
          <w:tcPr>
            <w:tcW w:type="dxa" w:w="2268"/>
            <w:vAlign w:val="center"/>
          </w:tcPr>
          <w:p>
            <w:pPr>
              <w:jc w:val="left"/>
            </w:pPr>
            <w:r>
              <w:rPr>
                <w:rFonts w:ascii="Times New Roman" w:hAnsi="Times New Roman" w:eastAsia="Times New Roman"/>
                <w:sz w:val="20"/>
              </w:rPr>
              <w:t>Хамааруулах хувьсагч</w:t>
            </w:r>
          </w:p>
        </w:tc>
        <w:tc>
          <w:tcPr>
            <w:tcW w:type="dxa" w:w="2948"/>
            <w:vAlign w:val="center"/>
          </w:tcPr>
          <w:p>
            <w:pPr>
              <w:jc w:val="center"/>
            </w:pPr>
            <w:r>
              <w:rPr>
                <w:rFonts w:ascii="Times New Roman" w:hAnsi="Times New Roman" w:eastAsia="Times New Roman"/>
                <w:sz w:val="20"/>
              </w:rPr>
              <w:t>lwage</w:t>
            </w:r>
          </w:p>
        </w:tc>
        <w:tc>
          <w:tcPr>
            <w:tcW w:type="dxa" w:w="3572"/>
            <w:vAlign w:val="center"/>
          </w:tcPr>
          <w:p>
            <w:pPr>
              <w:jc w:val="center"/>
            </w:pPr>
            <w:r>
              <w:rPr>
                <w:rFonts w:ascii="Times New Roman" w:hAnsi="Times New Roman" w:eastAsia="Times New Roman"/>
                <w:sz w:val="20"/>
              </w:rPr>
              <w:t>Бодит цагийн цалингийн логарифм</w:t>
            </w:r>
          </w:p>
        </w:tc>
      </w:tr>
      <w:tr>
        <w:tc>
          <w:tcPr>
            <w:tcW w:type="dxa" w:w="2268"/>
            <w:vAlign w:val="center"/>
          </w:tcPr>
          <w:p>
            <w:pPr>
              <w:jc w:val="left"/>
            </w:pPr>
            <w:r>
              <w:rPr>
                <w:rFonts w:ascii="Times New Roman" w:hAnsi="Times New Roman" w:eastAsia="Times New Roman"/>
                <w:sz w:val="20"/>
              </w:rPr>
              <w:t>Эндоген тайлбарлагч</w:t>
            </w:r>
          </w:p>
        </w:tc>
        <w:tc>
          <w:tcPr>
            <w:tcW w:type="dxa" w:w="2948"/>
            <w:vAlign w:val="center"/>
          </w:tcPr>
          <w:p>
            <w:pPr>
              <w:jc w:val="center"/>
            </w:pPr>
            <w:r>
              <w:rPr>
                <w:rFonts w:ascii="Times New Roman" w:hAnsi="Times New Roman" w:eastAsia="Times New Roman"/>
                <w:sz w:val="20"/>
              </w:rPr>
              <w:t>educ_years</w:t>
            </w:r>
          </w:p>
        </w:tc>
        <w:tc>
          <w:tcPr>
            <w:tcW w:type="dxa" w:w="3572"/>
            <w:vAlign w:val="center"/>
          </w:tcPr>
          <w:p>
            <w:pPr>
              <w:jc w:val="center"/>
            </w:pPr>
            <w:r>
              <w:rPr>
                <w:rFonts w:ascii="Times New Roman" w:hAnsi="Times New Roman" w:eastAsia="Times New Roman"/>
                <w:sz w:val="20"/>
              </w:rPr>
              <w:t>Боловсролын нийт жил</w:t>
            </w:r>
          </w:p>
        </w:tc>
      </w:tr>
      <w:tr>
        <w:tc>
          <w:tcPr>
            <w:tcW w:type="dxa" w:w="2268"/>
            <w:vAlign w:val="center"/>
          </w:tcPr>
          <w:p>
            <w:pPr>
              <w:jc w:val="left"/>
            </w:pPr>
            <w:r>
              <w:rPr>
                <w:rFonts w:ascii="Times New Roman" w:hAnsi="Times New Roman" w:eastAsia="Times New Roman"/>
                <w:sz w:val="20"/>
              </w:rPr>
              <w:t>Хэрэгсэл хувьсагч</w:t>
            </w:r>
          </w:p>
        </w:tc>
        <w:tc>
          <w:tcPr>
            <w:tcW w:type="dxa" w:w="2948"/>
            <w:vAlign w:val="center"/>
          </w:tcPr>
          <w:p>
            <w:pPr>
              <w:jc w:val="center"/>
            </w:pPr>
            <w:r>
              <w:rPr>
                <w:rFonts w:ascii="Times New Roman" w:hAnsi="Times New Roman" w:eastAsia="Times New Roman"/>
                <w:sz w:val="20"/>
              </w:rPr>
              <w:t>parent_educ_mean</w:t>
            </w:r>
          </w:p>
        </w:tc>
        <w:tc>
          <w:tcPr>
            <w:tcW w:type="dxa" w:w="3572"/>
            <w:vAlign w:val="center"/>
          </w:tcPr>
          <w:p>
            <w:pPr>
              <w:jc w:val="center"/>
            </w:pPr>
            <w:r>
              <w:rPr>
                <w:rFonts w:ascii="Times New Roman" w:hAnsi="Times New Roman" w:eastAsia="Times New Roman"/>
                <w:sz w:val="20"/>
              </w:rPr>
              <w:t>Эцэг эхийн боловсролын дундаж</w:t>
            </w:r>
          </w:p>
        </w:tc>
      </w:tr>
      <w:tr>
        <w:tc>
          <w:tcPr>
            <w:tcW w:type="dxa" w:w="2268"/>
            <w:vAlign w:val="center"/>
          </w:tcPr>
          <w:p>
            <w:pPr>
              <w:jc w:val="left"/>
            </w:pPr>
            <w:r>
              <w:rPr>
                <w:rFonts w:ascii="Times New Roman" w:hAnsi="Times New Roman" w:eastAsia="Times New Roman"/>
                <w:sz w:val="20"/>
              </w:rPr>
              <w:t>Гол орчны шинж</w:t>
            </w:r>
          </w:p>
        </w:tc>
        <w:tc>
          <w:tcPr>
            <w:tcW w:type="dxa" w:w="2948"/>
            <w:vAlign w:val="center"/>
          </w:tcPr>
          <w:p>
            <w:pPr>
              <w:jc w:val="center"/>
            </w:pPr>
            <w:r>
              <w:rPr>
                <w:rFonts w:ascii="Times New Roman" w:hAnsi="Times New Roman" w:eastAsia="Times New Roman"/>
                <w:sz w:val="20"/>
              </w:rPr>
              <w:t>student_teacher_ratio_avg_17_18</w:t>
            </w:r>
          </w:p>
        </w:tc>
        <w:tc>
          <w:tcPr>
            <w:tcW w:type="dxa" w:w="3572"/>
            <w:vAlign w:val="center"/>
          </w:tcPr>
          <w:p>
            <w:pPr>
              <w:jc w:val="center"/>
            </w:pPr>
            <w:r>
              <w:rPr>
                <w:rFonts w:ascii="Times New Roman" w:hAnsi="Times New Roman" w:eastAsia="Times New Roman"/>
                <w:sz w:val="20"/>
              </w:rPr>
              <w:t>17-18 насны сурагч-багшийн дундаж харьцаа</w:t>
            </w:r>
          </w:p>
        </w:tc>
      </w:tr>
      <w:tr>
        <w:tc>
          <w:tcPr>
            <w:tcW w:type="dxa" w:w="2268"/>
            <w:vAlign w:val="center"/>
          </w:tcPr>
          <w:p>
            <w:pPr>
              <w:jc w:val="left"/>
            </w:pPr>
            <w:r>
              <w:rPr>
                <w:rFonts w:ascii="Times New Roman" w:hAnsi="Times New Roman" w:eastAsia="Times New Roman"/>
                <w:sz w:val="20"/>
              </w:rPr>
              <w:t>Нэмэлт шинжүүд</w:t>
            </w:r>
          </w:p>
        </w:tc>
        <w:tc>
          <w:tcPr>
            <w:tcW w:type="dxa" w:w="2948"/>
            <w:vAlign w:val="center"/>
          </w:tcPr>
          <w:p>
            <w:pPr>
              <w:jc w:val="center"/>
            </w:pPr>
            <w:r>
              <w:rPr>
                <w:rFonts w:ascii="Times New Roman" w:hAnsi="Times New Roman" w:eastAsia="Times New Roman"/>
                <w:sz w:val="20"/>
              </w:rPr>
              <w:t>age, female, married, urban, q_school_access, FE dummies</w:t>
            </w:r>
          </w:p>
        </w:tc>
        <w:tc>
          <w:tcPr>
            <w:tcW w:type="dxa" w:w="3572"/>
            <w:vAlign w:val="center"/>
          </w:tcPr>
          <w:p>
            <w:pPr>
              <w:jc w:val="center"/>
            </w:pPr>
            <w:r>
              <w:rPr>
                <w:rFonts w:ascii="Times New Roman" w:hAnsi="Times New Roman" w:eastAsia="Times New Roman"/>
                <w:sz w:val="20"/>
              </w:rPr>
              <w:t>Өгөөжийн ялгааг сургах X матриц</w:t>
            </w:r>
          </w:p>
        </w:tc>
      </w:tr>
      <w:tr>
        <w:tc>
          <w:tcPr>
            <w:tcW w:type="dxa" w:w="2268"/>
            <w:vAlign w:val="center"/>
          </w:tcPr>
          <w:p>
            <w:pPr>
              <w:jc w:val="left"/>
            </w:pPr>
            <w:r>
              <w:rPr>
                <w:rFonts w:ascii="Times New Roman" w:hAnsi="Times New Roman" w:eastAsia="Times New Roman"/>
                <w:sz w:val="20"/>
              </w:rPr>
              <w:t>Загвар</w:t>
            </w:r>
          </w:p>
        </w:tc>
        <w:tc>
          <w:tcPr>
            <w:tcW w:type="dxa" w:w="2948"/>
            <w:vAlign w:val="center"/>
          </w:tcPr>
          <w:p>
            <w:pPr>
              <w:jc w:val="center"/>
            </w:pPr>
            <w:r>
              <w:rPr>
                <w:rFonts w:ascii="Times New Roman" w:hAnsi="Times New Roman" w:eastAsia="Times New Roman"/>
                <w:sz w:val="20"/>
              </w:rPr>
              <w:t>grf::instrumental_forest</w:t>
            </w:r>
          </w:p>
        </w:tc>
        <w:tc>
          <w:tcPr>
            <w:tcW w:type="dxa" w:w="3572"/>
            <w:vAlign w:val="center"/>
          </w:tcPr>
          <w:p>
            <w:pPr>
              <w:jc w:val="center"/>
            </w:pPr>
            <w:r>
              <w:rPr>
                <w:rFonts w:ascii="Times New Roman" w:hAnsi="Times New Roman" w:eastAsia="Times New Roman"/>
                <w:sz w:val="20"/>
              </w:rPr>
              <w:t>2,000 модтой локал IV forest</w:t>
            </w:r>
          </w:p>
        </w:tc>
      </w:tr>
    </w:tbl>
    <w:p>
      <w:pPr>
        <w:spacing w:before="40" w:after="120"/>
        <w:jc w:val="left"/>
      </w:pPr>
      <w:r>
        <w:rPr>
          <w:rFonts w:ascii="Times New Roman" w:hAnsi="Times New Roman" w:eastAsia="Times New Roman"/>
          <w:i/>
          <w:sz w:val="18"/>
        </w:rPr>
        <w:t>Эх сурвалж: Зохиогчийн тооцоолол.</w:t>
      </w:r>
    </w:p>
    <w:p>
      <w:pPr>
        <w:spacing w:before="240" w:after="120"/>
        <w:jc w:val="left"/>
      </w:pPr>
      <w:r>
        <w:rPr>
          <w:rFonts w:ascii="Times New Roman" w:hAnsi="Times New Roman" w:eastAsia="Times New Roman"/>
          <w:b/>
          <w:sz w:val="28"/>
        </w:rPr>
        <w:t>III БҮЛЭГ. ӨГӨГДӨЛ БА ХУВЬСАГЧИД</w:t>
      </w:r>
    </w:p>
    <w:p>
      <w:pPr>
        <w:spacing w:line="360" w:lineRule="auto" w:before="120" w:after="120"/>
        <w:ind w:firstLine="709"/>
        <w:jc w:val="both"/>
      </w:pPr>
      <w:r>
        <w:rPr>
          <w:rFonts w:ascii="Times New Roman" w:hAnsi="Times New Roman" w:eastAsia="Times New Roman"/>
          <w:b w:val="0"/>
          <w:i w:val="0"/>
        </w:rPr>
        <w:t>Шинжилгээнд үндсэн ХХБР загварын эцсийн түүвэр болох 3,188 ажиглалтыг ашиглав. Энэ түүвэр нь боловсрол, цалин, эцэг эхийн боловсрол, төрсөн аймаг, 17-18 насанд харгалзах сургуулийн орчны үзүүлэлт бүрэн ажиглагдсан ажиллагчдаас бүрдэнэ. Иймээс Instrumental Forest-ийн түүвэр үндсэн ХХБР үр дүнтэй шууд харьцуулах боломжтой.</w:t>
      </w:r>
    </w:p>
    <w:p>
      <w:pPr>
        <w:spacing w:line="360" w:lineRule="auto" w:before="120" w:after="120"/>
        <w:ind w:firstLine="709"/>
        <w:jc w:val="both"/>
      </w:pPr>
      <w:r>
        <w:rPr>
          <w:rFonts w:ascii="Times New Roman" w:hAnsi="Times New Roman" w:eastAsia="Times New Roman"/>
          <w:b w:val="0"/>
          <w:i w:val="0"/>
        </w:rPr>
        <w:t>X матрицад нийт 48 шинж орсон. Үүнд хувь хүний демограф шинжүүд, сургуулийн орчны үзүүлэлтүүд, төрсөн аймаг, төрсөн үе, судалгааны давалгааны дамми хувьсагчид багтсан. Харин parent_educ_mean нь зөвхөн хэрэгсэл хувьсагчийн үүрэгтэй тул X матрицад тайлбарлагч шинж болгон оруулаагүй. Энэ нь хэрэгсэл хувьсагчийн үүргийг threshold эсвэл heterogeneity feature-тэй хольж тайлбарлах эрсдэлийг бууруулна.</w:t>
      </w:r>
    </w:p>
    <w:p>
      <w:pPr>
        <w:spacing w:before="240" w:after="120"/>
        <w:jc w:val="left"/>
      </w:pPr>
      <w:r>
        <w:rPr>
          <w:rFonts w:ascii="Times New Roman" w:hAnsi="Times New Roman" w:eastAsia="Times New Roman"/>
          <w:b/>
          <w:sz w:val="28"/>
        </w:rPr>
        <w:t>IV БҮЛЭГ. ШИНЖИЛГЭЭНИЙ ҮР ДҮН</w:t>
      </w:r>
    </w:p>
    <w:p>
      <w:pPr>
        <w:spacing w:before="240" w:after="120"/>
        <w:jc w:val="left"/>
      </w:pPr>
      <w:r>
        <w:rPr>
          <w:rFonts w:ascii="Times New Roman" w:hAnsi="Times New Roman" w:eastAsia="Times New Roman"/>
          <w:b/>
          <w:sz w:val="24"/>
        </w:rPr>
        <w:t>4.1. Local IV өгөөжийн тархалт</w:t>
      </w:r>
    </w:p>
    <w:p>
      <w:pPr>
        <w:spacing w:before="120" w:after="40"/>
        <w:jc w:val="left"/>
      </w:pPr>
      <w:r>
        <w:rPr>
          <w:rFonts w:ascii="Times New Roman" w:hAnsi="Times New Roman" w:eastAsia="Times New Roman"/>
          <w:b/>
          <w:i/>
          <w:sz w:val="20"/>
        </w:rPr>
        <w:t>Хүснэгт 2. Local IV өгөөжийн үндсэн статистик</w:t>
      </w:r>
    </w:p>
    <w:tbl>
      <w:tblPr>
        <w:tblStyle w:val="TableGrid"/>
        <w:tblW w:type="auto" w:w="0"/>
        <w:jc w:val="center"/>
        <w:tblLook w:firstColumn="1" w:firstRow="1" w:lastColumn="0" w:lastRow="0" w:noHBand="0" w:noVBand="1" w:val="04A0"/>
      </w:tblPr>
      <w:tblGrid>
        <w:gridCol w:w="4535"/>
        <w:gridCol w:w="4535"/>
      </w:tblGrid>
      <w:tr>
        <w:tc>
          <w:tcPr>
            <w:tcW w:type="dxa" w:w="4535"/>
            <w:shd w:fill="D9EAF7"/>
            <w:vAlign w:val="center"/>
          </w:tcPr>
          <w:p>
            <w:pPr>
              <w:jc w:val="center"/>
            </w:pPr>
            <w:r>
              <w:rPr>
                <w:rFonts w:ascii="Times New Roman" w:hAnsi="Times New Roman" w:eastAsia="Times New Roman"/>
                <w:b/>
                <w:sz w:val="20"/>
              </w:rPr>
              <w:t>Үзүүлэлт</w:t>
            </w:r>
          </w:p>
        </w:tc>
        <w:tc>
          <w:tcPr>
            <w:tcW w:type="dxa" w:w="2835"/>
            <w:shd w:fill="D9EAF7"/>
            <w:vAlign w:val="center"/>
          </w:tcPr>
          <w:p>
            <w:pPr>
              <w:jc w:val="center"/>
            </w:pPr>
            <w:r>
              <w:rPr>
                <w:rFonts w:ascii="Times New Roman" w:hAnsi="Times New Roman" w:eastAsia="Times New Roman"/>
                <w:b/>
                <w:sz w:val="20"/>
              </w:rPr>
              <w:t>Утга</w:t>
            </w:r>
          </w:p>
        </w:tc>
      </w:tr>
      <w:tr>
        <w:tc>
          <w:tcPr>
            <w:tcW w:type="dxa" w:w="4535"/>
            <w:vAlign w:val="center"/>
          </w:tcPr>
          <w:p>
            <w:pPr>
              <w:jc w:val="left"/>
            </w:pPr>
            <w:r>
              <w:rPr>
                <w:rFonts w:ascii="Times New Roman" w:hAnsi="Times New Roman" w:eastAsia="Times New Roman"/>
                <w:sz w:val="20"/>
              </w:rPr>
              <w:t>Ажиглалтын тоо</w:t>
            </w:r>
          </w:p>
        </w:tc>
        <w:tc>
          <w:tcPr>
            <w:tcW w:type="dxa" w:w="2835"/>
            <w:vAlign w:val="center"/>
          </w:tcPr>
          <w:p>
            <w:pPr>
              <w:jc w:val="center"/>
            </w:pPr>
            <w:r>
              <w:rPr>
                <w:rFonts w:ascii="Times New Roman" w:hAnsi="Times New Roman" w:eastAsia="Times New Roman"/>
                <w:sz w:val="20"/>
              </w:rPr>
              <w:t>3,188</w:t>
            </w:r>
          </w:p>
        </w:tc>
      </w:tr>
      <w:tr>
        <w:tc>
          <w:tcPr>
            <w:tcW w:type="dxa" w:w="4535"/>
            <w:vAlign w:val="center"/>
          </w:tcPr>
          <w:p>
            <w:pPr>
              <w:jc w:val="left"/>
            </w:pPr>
            <w:r>
              <w:rPr>
                <w:rFonts w:ascii="Times New Roman" w:hAnsi="Times New Roman" w:eastAsia="Times New Roman"/>
                <w:sz w:val="20"/>
              </w:rPr>
              <w:t>Модны тоо</w:t>
            </w:r>
          </w:p>
        </w:tc>
        <w:tc>
          <w:tcPr>
            <w:tcW w:type="dxa" w:w="2835"/>
            <w:vAlign w:val="center"/>
          </w:tcPr>
          <w:p>
            <w:pPr>
              <w:jc w:val="center"/>
            </w:pPr>
            <w:r>
              <w:rPr>
                <w:rFonts w:ascii="Times New Roman" w:hAnsi="Times New Roman" w:eastAsia="Times New Roman"/>
                <w:sz w:val="20"/>
              </w:rPr>
              <w:t>2,000</w:t>
            </w:r>
          </w:p>
        </w:tc>
      </w:tr>
      <w:tr>
        <w:tc>
          <w:tcPr>
            <w:tcW w:type="dxa" w:w="4535"/>
            <w:vAlign w:val="center"/>
          </w:tcPr>
          <w:p>
            <w:pPr>
              <w:jc w:val="left"/>
            </w:pPr>
            <w:r>
              <w:rPr>
                <w:rFonts w:ascii="Times New Roman" w:hAnsi="Times New Roman" w:eastAsia="Times New Roman"/>
                <w:sz w:val="20"/>
              </w:rPr>
              <w:t>X шинжийн тоо</w:t>
            </w:r>
          </w:p>
        </w:tc>
        <w:tc>
          <w:tcPr>
            <w:tcW w:type="dxa" w:w="2835"/>
            <w:vAlign w:val="center"/>
          </w:tcPr>
          <w:p>
            <w:pPr>
              <w:jc w:val="center"/>
            </w:pPr>
            <w:r>
              <w:rPr>
                <w:rFonts w:ascii="Times New Roman" w:hAnsi="Times New Roman" w:eastAsia="Times New Roman"/>
                <w:sz w:val="20"/>
              </w:rPr>
              <w:t>48</w:t>
            </w:r>
          </w:p>
        </w:tc>
      </w:tr>
      <w:tr>
        <w:tc>
          <w:tcPr>
            <w:tcW w:type="dxa" w:w="4535"/>
            <w:vAlign w:val="center"/>
          </w:tcPr>
          <w:p>
            <w:pPr>
              <w:jc w:val="left"/>
            </w:pPr>
            <w:r>
              <w:rPr>
                <w:rFonts w:ascii="Times New Roman" w:hAnsi="Times New Roman" w:eastAsia="Times New Roman"/>
                <w:sz w:val="20"/>
              </w:rPr>
              <w:t>Дундаж local IV өгөөж</w:t>
            </w:r>
          </w:p>
        </w:tc>
        <w:tc>
          <w:tcPr>
            <w:tcW w:type="dxa" w:w="2835"/>
            <w:vAlign w:val="center"/>
          </w:tcPr>
          <w:p>
            <w:pPr>
              <w:jc w:val="center"/>
            </w:pPr>
            <w:r>
              <w:rPr>
                <w:rFonts w:ascii="Times New Roman" w:hAnsi="Times New Roman" w:eastAsia="Times New Roman"/>
                <w:sz w:val="20"/>
              </w:rPr>
              <w:t>11.35%</w:t>
            </w:r>
          </w:p>
        </w:tc>
      </w:tr>
      <w:tr>
        <w:tc>
          <w:tcPr>
            <w:tcW w:type="dxa" w:w="4535"/>
            <w:vAlign w:val="center"/>
          </w:tcPr>
          <w:p>
            <w:pPr>
              <w:jc w:val="left"/>
            </w:pPr>
            <w:r>
              <w:rPr>
                <w:rFonts w:ascii="Times New Roman" w:hAnsi="Times New Roman" w:eastAsia="Times New Roman"/>
                <w:sz w:val="20"/>
              </w:rPr>
              <w:t>Медиан local IV өгөөж</w:t>
            </w:r>
          </w:p>
        </w:tc>
        <w:tc>
          <w:tcPr>
            <w:tcW w:type="dxa" w:w="2835"/>
            <w:vAlign w:val="center"/>
          </w:tcPr>
          <w:p>
            <w:pPr>
              <w:jc w:val="center"/>
            </w:pPr>
            <w:r>
              <w:rPr>
                <w:rFonts w:ascii="Times New Roman" w:hAnsi="Times New Roman" w:eastAsia="Times New Roman"/>
                <w:sz w:val="20"/>
              </w:rPr>
              <w:t>10.58%</w:t>
            </w:r>
          </w:p>
        </w:tc>
      </w:tr>
      <w:tr>
        <w:tc>
          <w:tcPr>
            <w:tcW w:type="dxa" w:w="4535"/>
            <w:vAlign w:val="center"/>
          </w:tcPr>
          <w:p>
            <w:pPr>
              <w:jc w:val="left"/>
            </w:pPr>
            <w:r>
              <w:rPr>
                <w:rFonts w:ascii="Times New Roman" w:hAnsi="Times New Roman" w:eastAsia="Times New Roman"/>
                <w:sz w:val="20"/>
              </w:rPr>
              <w:t>10 хувийн перцентиль</w:t>
            </w:r>
          </w:p>
        </w:tc>
        <w:tc>
          <w:tcPr>
            <w:tcW w:type="dxa" w:w="2835"/>
            <w:vAlign w:val="center"/>
          </w:tcPr>
          <w:p>
            <w:pPr>
              <w:jc w:val="center"/>
            </w:pPr>
            <w:r>
              <w:rPr>
                <w:rFonts w:ascii="Times New Roman" w:hAnsi="Times New Roman" w:eastAsia="Times New Roman"/>
                <w:sz w:val="20"/>
              </w:rPr>
              <w:t>6.92%</w:t>
            </w:r>
          </w:p>
        </w:tc>
      </w:tr>
      <w:tr>
        <w:tc>
          <w:tcPr>
            <w:tcW w:type="dxa" w:w="4535"/>
            <w:vAlign w:val="center"/>
          </w:tcPr>
          <w:p>
            <w:pPr>
              <w:jc w:val="left"/>
            </w:pPr>
            <w:r>
              <w:rPr>
                <w:rFonts w:ascii="Times New Roman" w:hAnsi="Times New Roman" w:eastAsia="Times New Roman"/>
                <w:sz w:val="20"/>
              </w:rPr>
              <w:t>90 хувийн перцентиль</w:t>
            </w:r>
          </w:p>
        </w:tc>
        <w:tc>
          <w:tcPr>
            <w:tcW w:type="dxa" w:w="2835"/>
            <w:vAlign w:val="center"/>
          </w:tcPr>
          <w:p>
            <w:pPr>
              <w:jc w:val="center"/>
            </w:pPr>
            <w:r>
              <w:rPr>
                <w:rFonts w:ascii="Times New Roman" w:hAnsi="Times New Roman" w:eastAsia="Times New Roman"/>
                <w:sz w:val="20"/>
              </w:rPr>
              <w:t>16.84%</w:t>
            </w:r>
          </w:p>
        </w:tc>
      </w:tr>
      <w:tr>
        <w:tc>
          <w:tcPr>
            <w:tcW w:type="dxa" w:w="4535"/>
            <w:vAlign w:val="center"/>
          </w:tcPr>
          <w:p>
            <w:pPr>
              <w:jc w:val="left"/>
            </w:pPr>
            <w:r>
              <w:rPr>
                <w:rFonts w:ascii="Times New Roman" w:hAnsi="Times New Roman" w:eastAsia="Times New Roman"/>
                <w:sz w:val="20"/>
              </w:rPr>
              <w:t>Харьцуулах ХШХБК өгөөж</w:t>
            </w:r>
          </w:p>
        </w:tc>
        <w:tc>
          <w:tcPr>
            <w:tcW w:type="dxa" w:w="2835"/>
            <w:vAlign w:val="center"/>
          </w:tcPr>
          <w:p>
            <w:pPr>
              <w:jc w:val="center"/>
            </w:pPr>
            <w:r>
              <w:rPr>
                <w:rFonts w:ascii="Times New Roman" w:hAnsi="Times New Roman" w:eastAsia="Times New Roman"/>
                <w:sz w:val="20"/>
              </w:rPr>
              <w:t>10.88%</w:t>
            </w:r>
          </w:p>
        </w:tc>
      </w:tr>
    </w:tbl>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Хүснэгт 2-оос харахад Instrumental Forest-ийн таамагласан local IV өгөөж дунджаар 11.35 хувь, медианаар 10.58 хувь байна. Энэ нь үндсэн ХШХБК үнэлгээнээс гарсан дундаж өгөөжтэй ойролцоо тул model нийт түвшинд судалгааны суурь үр дүнгээс тасарч, хэт өөр дүр зураг гаргаагүй байна. Харин 10-90 хувийн муж 6.92-16.84 хувь байгаа нь боловсролын өгөөж бүлгүүдээр нэлээд ялгаатай тархаж болохыг харуулж байна.</w:t>
      </w:r>
    </w:p>
    <w:p>
      <w:pPr>
        <w:spacing w:before="120" w:after="40"/>
        <w:jc w:val="left"/>
      </w:pPr>
      <w:r>
        <w:rPr>
          <w:rFonts w:ascii="Times New Roman" w:hAnsi="Times New Roman" w:eastAsia="Times New Roman"/>
          <w:b/>
          <w:i/>
          <w:sz w:val="20"/>
        </w:rPr>
        <w:t>Зураг 1. Instrumental Forest өгөөжийн тархалт</w:t>
      </w:r>
    </w:p>
    <w:p>
      <w:pPr>
        <w:jc w:val="center"/>
      </w:pPr>
      <w:r>
        <w:drawing>
          <wp:inline xmlns:a="http://schemas.openxmlformats.org/drawingml/2006/main" xmlns:pic="http://schemas.openxmlformats.org/drawingml/2006/picture">
            <wp:extent cx="5852160" cy="3803904"/>
            <wp:docPr id="1" name="Picture 1"/>
            <wp:cNvGraphicFramePr>
              <a:graphicFrameLocks noChangeAspect="1"/>
            </wp:cNvGraphicFramePr>
            <a:graphic>
              <a:graphicData uri="http://schemas.openxmlformats.org/drawingml/2006/picture">
                <pic:pic>
                  <pic:nvPicPr>
                    <pic:cNvPr id="0" name="instrumental_forest_tau_distribution.png"/>
                    <pic:cNvPicPr/>
                  </pic:nvPicPr>
                  <pic:blipFill>
                    <a:blip r:embed="rId21"/>
                    <a:stretch>
                      <a:fillRect/>
                    </a:stretch>
                  </pic:blipFill>
                  <pic:spPr>
                    <a:xfrm>
                      <a:off x="0" y="0"/>
                      <a:ext cx="5852160" cy="3803904"/>
                    </a:xfrm>
                    <a:prstGeom prst="rect"/>
                  </pic:spPr>
                </pic:pic>
              </a:graphicData>
            </a:graphic>
          </wp:inline>
        </w:drawing>
      </w:r>
    </w:p>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Зураг 1-д local IV өгөөжийн тархалтыг харуулав. Тасархай босоо шугам нь ХШХБК-ийн дундаж өгөөжийг илэрхийлнэ. Тархалтын төв хэсэг 10-12 хувийн орчимд байрлаж байгаа боловч баруун талдаа өндөр өгөөжтэй бүлгүүд ажиглагдаж байна. Иймээс боловсролын өгөөжийг зөвхөн нэг дундаж коэффициентээр тайлбарлах нь мэдээлэл алдах боломжтой.</w:t>
      </w:r>
    </w:p>
    <w:p>
      <w:pPr>
        <w:spacing w:before="240" w:after="120"/>
        <w:jc w:val="left"/>
      </w:pPr>
      <w:r>
        <w:rPr>
          <w:rFonts w:ascii="Times New Roman" w:hAnsi="Times New Roman" w:eastAsia="Times New Roman"/>
          <w:b/>
          <w:sz w:val="24"/>
        </w:rPr>
        <w:t>4.2. Өгөөжийн квартил бүлгүүд</w:t>
      </w:r>
    </w:p>
    <w:p>
      <w:pPr>
        <w:spacing w:before="120" w:after="40"/>
        <w:jc w:val="left"/>
      </w:pPr>
      <w:r>
        <w:rPr>
          <w:rFonts w:ascii="Times New Roman" w:hAnsi="Times New Roman" w:eastAsia="Times New Roman"/>
          <w:b/>
          <w:i/>
          <w:sz w:val="20"/>
        </w:rPr>
        <w:t>Хүснэгт 3. Local IV өгөөжийн квартил бүлгүүдийн харьцуулалт</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1"/>
            <w:shd w:fill="D9EAF7"/>
            <w:vAlign w:val="center"/>
          </w:tcPr>
          <w:p>
            <w:pPr>
              <w:jc w:val="center"/>
            </w:pPr>
            <w:r>
              <w:rPr>
                <w:rFonts w:ascii="Times New Roman" w:hAnsi="Times New Roman" w:eastAsia="Times New Roman"/>
                <w:b/>
                <w:sz w:val="20"/>
              </w:rPr>
              <w:t>Бүлэг</w:t>
            </w:r>
          </w:p>
        </w:tc>
        <w:tc>
          <w:tcPr>
            <w:tcW w:type="dxa" w:w="1134"/>
            <w:shd w:fill="D9EAF7"/>
            <w:vAlign w:val="center"/>
          </w:tcPr>
          <w:p>
            <w:pPr>
              <w:jc w:val="center"/>
            </w:pPr>
            <w:r>
              <w:rPr>
                <w:rFonts w:ascii="Times New Roman" w:hAnsi="Times New Roman" w:eastAsia="Times New Roman"/>
                <w:b/>
                <w:sz w:val="20"/>
              </w:rPr>
              <w:t>N</w:t>
            </w:r>
          </w:p>
        </w:tc>
        <w:tc>
          <w:tcPr>
            <w:tcW w:type="dxa" w:w="1587"/>
            <w:shd w:fill="D9EAF7"/>
            <w:vAlign w:val="center"/>
          </w:tcPr>
          <w:p>
            <w:pPr>
              <w:jc w:val="center"/>
            </w:pPr>
            <w:r>
              <w:rPr>
                <w:rFonts w:ascii="Times New Roman" w:hAnsi="Times New Roman" w:eastAsia="Times New Roman"/>
                <w:b/>
                <w:sz w:val="20"/>
              </w:rPr>
              <w:t>Дундаж өгөөж</w:t>
            </w:r>
          </w:p>
        </w:tc>
        <w:tc>
          <w:tcPr>
            <w:tcW w:type="dxa" w:w="1417"/>
            <w:shd w:fill="D9EAF7"/>
            <w:vAlign w:val="center"/>
          </w:tcPr>
          <w:p>
            <w:pPr>
              <w:jc w:val="center"/>
            </w:pPr>
            <w:r>
              <w:rPr>
                <w:rFonts w:ascii="Times New Roman" w:hAnsi="Times New Roman" w:eastAsia="Times New Roman"/>
                <w:b/>
                <w:sz w:val="20"/>
              </w:rPr>
              <w:t>STR медиан</w:t>
            </w:r>
          </w:p>
        </w:tc>
        <w:tc>
          <w:tcPr>
            <w:tcW w:type="dxa" w:w="1361"/>
            <w:shd w:fill="D9EAF7"/>
            <w:vAlign w:val="center"/>
          </w:tcPr>
          <w:p>
            <w:pPr>
              <w:jc w:val="center"/>
            </w:pPr>
            <w:r>
              <w:rPr>
                <w:rFonts w:ascii="Times New Roman" w:hAnsi="Times New Roman" w:eastAsia="Times New Roman"/>
                <w:b/>
                <w:sz w:val="20"/>
              </w:rPr>
              <w:t>Хотын хувь</w:t>
            </w:r>
          </w:p>
        </w:tc>
        <w:tc>
          <w:tcPr>
            <w:tcW w:type="dxa" w:w="1361"/>
            <w:shd w:fill="D9EAF7"/>
            <w:vAlign w:val="center"/>
          </w:tcPr>
          <w:p>
            <w:pPr>
              <w:jc w:val="center"/>
            </w:pPr>
            <w:r>
              <w:rPr>
                <w:rFonts w:ascii="Times New Roman" w:hAnsi="Times New Roman" w:eastAsia="Times New Roman"/>
                <w:b/>
                <w:sz w:val="20"/>
              </w:rPr>
              <w:t>Эмэгтэй хувь</w:t>
            </w:r>
          </w:p>
        </w:tc>
      </w:tr>
      <w:tr>
        <w:tc>
          <w:tcPr>
            <w:tcW w:type="dxa" w:w="1871"/>
            <w:vAlign w:val="center"/>
          </w:tcPr>
          <w:p>
            <w:pPr>
              <w:jc w:val="left"/>
            </w:pPr>
            <w:r>
              <w:rPr>
                <w:rFonts w:ascii="Times New Roman" w:hAnsi="Times New Roman" w:eastAsia="Times New Roman"/>
                <w:sz w:val="20"/>
              </w:rPr>
              <w:t>Доод 25%</w:t>
            </w:r>
          </w:p>
        </w:tc>
        <w:tc>
          <w:tcPr>
            <w:tcW w:type="dxa" w:w="1134"/>
            <w:vAlign w:val="center"/>
          </w:tcPr>
          <w:p>
            <w:pPr>
              <w:jc w:val="center"/>
            </w:pPr>
            <w:r>
              <w:rPr>
                <w:rFonts w:ascii="Times New Roman" w:hAnsi="Times New Roman" w:eastAsia="Times New Roman"/>
                <w:sz w:val="20"/>
              </w:rPr>
              <w:t>797</w:t>
            </w:r>
          </w:p>
        </w:tc>
        <w:tc>
          <w:tcPr>
            <w:tcW w:type="dxa" w:w="1587"/>
            <w:vAlign w:val="center"/>
          </w:tcPr>
          <w:p>
            <w:pPr>
              <w:jc w:val="center"/>
            </w:pPr>
            <w:r>
              <w:rPr>
                <w:rFonts w:ascii="Times New Roman" w:hAnsi="Times New Roman" w:eastAsia="Times New Roman"/>
                <w:sz w:val="20"/>
              </w:rPr>
              <w:t>6.95%</w:t>
            </w:r>
          </w:p>
        </w:tc>
        <w:tc>
          <w:tcPr>
            <w:tcW w:type="dxa" w:w="1417"/>
            <w:vAlign w:val="center"/>
          </w:tcPr>
          <w:p>
            <w:pPr>
              <w:jc w:val="center"/>
            </w:pPr>
            <w:r>
              <w:rPr>
                <w:rFonts w:ascii="Times New Roman" w:hAnsi="Times New Roman" w:eastAsia="Times New Roman"/>
                <w:sz w:val="20"/>
              </w:rPr>
              <w:t>20.14</w:t>
            </w:r>
          </w:p>
        </w:tc>
        <w:tc>
          <w:tcPr>
            <w:tcW w:type="dxa" w:w="1361"/>
            <w:vAlign w:val="center"/>
          </w:tcPr>
          <w:p>
            <w:pPr>
              <w:jc w:val="center"/>
            </w:pPr>
            <w:r>
              <w:rPr>
                <w:rFonts w:ascii="Times New Roman" w:hAnsi="Times New Roman" w:eastAsia="Times New Roman"/>
                <w:sz w:val="20"/>
              </w:rPr>
              <w:t>68.63%</w:t>
            </w:r>
          </w:p>
        </w:tc>
        <w:tc>
          <w:tcPr>
            <w:tcW w:type="dxa" w:w="1361"/>
            <w:vAlign w:val="center"/>
          </w:tcPr>
          <w:p>
            <w:pPr>
              <w:jc w:val="center"/>
            </w:pPr>
            <w:r>
              <w:rPr>
                <w:rFonts w:ascii="Times New Roman" w:hAnsi="Times New Roman" w:eastAsia="Times New Roman"/>
                <w:sz w:val="20"/>
              </w:rPr>
              <w:t>13.55%</w:t>
            </w:r>
          </w:p>
        </w:tc>
      </w:tr>
      <w:tr>
        <w:tc>
          <w:tcPr>
            <w:tcW w:type="dxa" w:w="1871"/>
            <w:vAlign w:val="center"/>
          </w:tcPr>
          <w:p>
            <w:pPr>
              <w:jc w:val="left"/>
            </w:pPr>
            <w:r>
              <w:rPr>
                <w:rFonts w:ascii="Times New Roman" w:hAnsi="Times New Roman" w:eastAsia="Times New Roman"/>
                <w:sz w:val="20"/>
              </w:rPr>
              <w:t>Дунд-доод 25%</w:t>
            </w:r>
          </w:p>
        </w:tc>
        <w:tc>
          <w:tcPr>
            <w:tcW w:type="dxa" w:w="1134"/>
            <w:vAlign w:val="center"/>
          </w:tcPr>
          <w:p>
            <w:pPr>
              <w:jc w:val="center"/>
            </w:pPr>
            <w:r>
              <w:rPr>
                <w:rFonts w:ascii="Times New Roman" w:hAnsi="Times New Roman" w:eastAsia="Times New Roman"/>
                <w:sz w:val="20"/>
              </w:rPr>
              <w:t>797</w:t>
            </w:r>
          </w:p>
        </w:tc>
        <w:tc>
          <w:tcPr>
            <w:tcW w:type="dxa" w:w="1587"/>
            <w:vAlign w:val="center"/>
          </w:tcPr>
          <w:p>
            <w:pPr>
              <w:jc w:val="center"/>
            </w:pPr>
            <w:r>
              <w:rPr>
                <w:rFonts w:ascii="Times New Roman" w:hAnsi="Times New Roman" w:eastAsia="Times New Roman"/>
                <w:sz w:val="20"/>
              </w:rPr>
              <w:t>9.52%</w:t>
            </w:r>
          </w:p>
        </w:tc>
        <w:tc>
          <w:tcPr>
            <w:tcW w:type="dxa" w:w="1417"/>
            <w:vAlign w:val="center"/>
          </w:tcPr>
          <w:p>
            <w:pPr>
              <w:jc w:val="center"/>
            </w:pPr>
            <w:r>
              <w:rPr>
                <w:rFonts w:ascii="Times New Roman" w:hAnsi="Times New Roman" w:eastAsia="Times New Roman"/>
                <w:sz w:val="20"/>
              </w:rPr>
              <w:t>20.60</w:t>
            </w:r>
          </w:p>
        </w:tc>
        <w:tc>
          <w:tcPr>
            <w:tcW w:type="dxa" w:w="1361"/>
            <w:vAlign w:val="center"/>
          </w:tcPr>
          <w:p>
            <w:pPr>
              <w:jc w:val="center"/>
            </w:pPr>
            <w:r>
              <w:rPr>
                <w:rFonts w:ascii="Times New Roman" w:hAnsi="Times New Roman" w:eastAsia="Times New Roman"/>
                <w:sz w:val="20"/>
              </w:rPr>
              <w:t>78.04%</w:t>
            </w:r>
          </w:p>
        </w:tc>
        <w:tc>
          <w:tcPr>
            <w:tcW w:type="dxa" w:w="1361"/>
            <w:vAlign w:val="center"/>
          </w:tcPr>
          <w:p>
            <w:pPr>
              <w:jc w:val="center"/>
            </w:pPr>
            <w:r>
              <w:rPr>
                <w:rFonts w:ascii="Times New Roman" w:hAnsi="Times New Roman" w:eastAsia="Times New Roman"/>
                <w:sz w:val="20"/>
              </w:rPr>
              <w:t>20.70%</w:t>
            </w:r>
          </w:p>
        </w:tc>
      </w:tr>
      <w:tr>
        <w:tc>
          <w:tcPr>
            <w:tcW w:type="dxa" w:w="1871"/>
            <w:vAlign w:val="center"/>
          </w:tcPr>
          <w:p>
            <w:pPr>
              <w:jc w:val="left"/>
            </w:pPr>
            <w:r>
              <w:rPr>
                <w:rFonts w:ascii="Times New Roman" w:hAnsi="Times New Roman" w:eastAsia="Times New Roman"/>
                <w:sz w:val="20"/>
              </w:rPr>
              <w:t>Дунд-дээд 25%</w:t>
            </w:r>
          </w:p>
        </w:tc>
        <w:tc>
          <w:tcPr>
            <w:tcW w:type="dxa" w:w="1134"/>
            <w:vAlign w:val="center"/>
          </w:tcPr>
          <w:p>
            <w:pPr>
              <w:jc w:val="center"/>
            </w:pPr>
            <w:r>
              <w:rPr>
                <w:rFonts w:ascii="Times New Roman" w:hAnsi="Times New Roman" w:eastAsia="Times New Roman"/>
                <w:sz w:val="20"/>
              </w:rPr>
              <w:t>797</w:t>
            </w:r>
          </w:p>
        </w:tc>
        <w:tc>
          <w:tcPr>
            <w:tcW w:type="dxa" w:w="1587"/>
            <w:vAlign w:val="center"/>
          </w:tcPr>
          <w:p>
            <w:pPr>
              <w:jc w:val="center"/>
            </w:pPr>
            <w:r>
              <w:rPr>
                <w:rFonts w:ascii="Times New Roman" w:hAnsi="Times New Roman" w:eastAsia="Times New Roman"/>
                <w:sz w:val="20"/>
              </w:rPr>
              <w:t>12.02%</w:t>
            </w:r>
          </w:p>
        </w:tc>
        <w:tc>
          <w:tcPr>
            <w:tcW w:type="dxa" w:w="1417"/>
            <w:vAlign w:val="center"/>
          </w:tcPr>
          <w:p>
            <w:pPr>
              <w:jc w:val="center"/>
            </w:pPr>
            <w:r>
              <w:rPr>
                <w:rFonts w:ascii="Times New Roman" w:hAnsi="Times New Roman" w:eastAsia="Times New Roman"/>
                <w:sz w:val="20"/>
              </w:rPr>
              <w:t>23.10</w:t>
            </w:r>
          </w:p>
        </w:tc>
        <w:tc>
          <w:tcPr>
            <w:tcW w:type="dxa" w:w="1361"/>
            <w:vAlign w:val="center"/>
          </w:tcPr>
          <w:p>
            <w:pPr>
              <w:jc w:val="center"/>
            </w:pPr>
            <w:r>
              <w:rPr>
                <w:rFonts w:ascii="Times New Roman" w:hAnsi="Times New Roman" w:eastAsia="Times New Roman"/>
                <w:sz w:val="20"/>
              </w:rPr>
              <w:t>82.18%</w:t>
            </w:r>
          </w:p>
        </w:tc>
        <w:tc>
          <w:tcPr>
            <w:tcW w:type="dxa" w:w="1361"/>
            <w:vAlign w:val="center"/>
          </w:tcPr>
          <w:p>
            <w:pPr>
              <w:jc w:val="center"/>
            </w:pPr>
            <w:r>
              <w:rPr>
                <w:rFonts w:ascii="Times New Roman" w:hAnsi="Times New Roman" w:eastAsia="Times New Roman"/>
                <w:sz w:val="20"/>
              </w:rPr>
              <w:t>54.45%</w:t>
            </w:r>
          </w:p>
        </w:tc>
      </w:tr>
      <w:tr>
        <w:tc>
          <w:tcPr>
            <w:tcW w:type="dxa" w:w="1871"/>
            <w:vAlign w:val="center"/>
          </w:tcPr>
          <w:p>
            <w:pPr>
              <w:jc w:val="left"/>
            </w:pPr>
            <w:r>
              <w:rPr>
                <w:rFonts w:ascii="Times New Roman" w:hAnsi="Times New Roman" w:eastAsia="Times New Roman"/>
                <w:sz w:val="20"/>
              </w:rPr>
              <w:t>Дээд 25%</w:t>
            </w:r>
          </w:p>
        </w:tc>
        <w:tc>
          <w:tcPr>
            <w:tcW w:type="dxa" w:w="1134"/>
            <w:vAlign w:val="center"/>
          </w:tcPr>
          <w:p>
            <w:pPr>
              <w:jc w:val="center"/>
            </w:pPr>
            <w:r>
              <w:rPr>
                <w:rFonts w:ascii="Times New Roman" w:hAnsi="Times New Roman" w:eastAsia="Times New Roman"/>
                <w:sz w:val="20"/>
              </w:rPr>
              <w:t>797</w:t>
            </w:r>
          </w:p>
        </w:tc>
        <w:tc>
          <w:tcPr>
            <w:tcW w:type="dxa" w:w="1587"/>
            <w:vAlign w:val="center"/>
          </w:tcPr>
          <w:p>
            <w:pPr>
              <w:jc w:val="center"/>
            </w:pPr>
            <w:r>
              <w:rPr>
                <w:rFonts w:ascii="Times New Roman" w:hAnsi="Times New Roman" w:eastAsia="Times New Roman"/>
                <w:sz w:val="20"/>
              </w:rPr>
              <w:t>16.93%</w:t>
            </w:r>
          </w:p>
        </w:tc>
        <w:tc>
          <w:tcPr>
            <w:tcW w:type="dxa" w:w="1417"/>
            <w:vAlign w:val="center"/>
          </w:tcPr>
          <w:p>
            <w:pPr>
              <w:jc w:val="center"/>
            </w:pPr>
            <w:r>
              <w:rPr>
                <w:rFonts w:ascii="Times New Roman" w:hAnsi="Times New Roman" w:eastAsia="Times New Roman"/>
                <w:sz w:val="20"/>
              </w:rPr>
              <w:t>19.58</w:t>
            </w:r>
          </w:p>
        </w:tc>
        <w:tc>
          <w:tcPr>
            <w:tcW w:type="dxa" w:w="1361"/>
            <w:vAlign w:val="center"/>
          </w:tcPr>
          <w:p>
            <w:pPr>
              <w:jc w:val="center"/>
            </w:pPr>
            <w:r>
              <w:rPr>
                <w:rFonts w:ascii="Times New Roman" w:hAnsi="Times New Roman" w:eastAsia="Times New Roman"/>
                <w:sz w:val="20"/>
              </w:rPr>
              <w:t>76.91%</w:t>
            </w:r>
          </w:p>
        </w:tc>
        <w:tc>
          <w:tcPr>
            <w:tcW w:type="dxa" w:w="1361"/>
            <w:vAlign w:val="center"/>
          </w:tcPr>
          <w:p>
            <w:pPr>
              <w:jc w:val="center"/>
            </w:pPr>
            <w:r>
              <w:rPr>
                <w:rFonts w:ascii="Times New Roman" w:hAnsi="Times New Roman" w:eastAsia="Times New Roman"/>
                <w:sz w:val="20"/>
              </w:rPr>
              <w:t>100.00%</w:t>
            </w:r>
          </w:p>
        </w:tc>
      </w:tr>
    </w:tbl>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Квартилын харьцуулалтаас өгөөжийн доод 25 хувийн бүлэгт дундаж өгөөж 6.95 хувь, дээд 25 хувийн бүлэгт 16.93 хувь байна. Энэ ялгаа нь Instrumental Forest-ийн гол нэмэлт мэдээлэл юм. Өөрөөр хэлбэл, боловсролын нэг жилийн өгөөж нь судалгааны бүх хүний хувьд адил биш бөгөөд хувь хүний шинж, сургуулийн орчин, судалгааны давалгааны ялгаатай хамт илэрч байна.</w:t>
      </w:r>
    </w:p>
    <w:p>
      <w:pPr>
        <w:spacing w:before="240" w:after="120"/>
        <w:jc w:val="left"/>
      </w:pPr>
      <w:r>
        <w:rPr>
          <w:rFonts w:ascii="Times New Roman" w:hAnsi="Times New Roman" w:eastAsia="Times New Roman"/>
          <w:b/>
          <w:sz w:val="24"/>
        </w:rPr>
        <w:t>4.3. STR босготой холбож унших нь</w:t>
      </w:r>
    </w:p>
    <w:p>
      <w:pPr>
        <w:spacing w:before="120" w:after="40"/>
        <w:jc w:val="left"/>
      </w:pPr>
      <w:r>
        <w:rPr>
          <w:rFonts w:ascii="Times New Roman" w:hAnsi="Times New Roman" w:eastAsia="Times New Roman"/>
          <w:b/>
          <w:i/>
          <w:sz w:val="20"/>
        </w:rPr>
        <w:t>Хүснэгт 4. STR босгоны регимээр харьцуулсан Instrumental Forest үр дүн</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68"/>
            <w:shd w:fill="D9EAF7"/>
            <w:vAlign w:val="center"/>
          </w:tcPr>
          <w:p>
            <w:pPr>
              <w:jc w:val="center"/>
            </w:pPr>
            <w:r>
              <w:rPr>
                <w:rFonts w:ascii="Times New Roman" w:hAnsi="Times New Roman" w:eastAsia="Times New Roman"/>
                <w:b/>
                <w:sz w:val="20"/>
              </w:rPr>
              <w:t>Регим</w:t>
            </w:r>
          </w:p>
        </w:tc>
        <w:tc>
          <w:tcPr>
            <w:tcW w:type="dxa" w:w="1134"/>
            <w:shd w:fill="D9EAF7"/>
            <w:vAlign w:val="center"/>
          </w:tcPr>
          <w:p>
            <w:pPr>
              <w:jc w:val="center"/>
            </w:pPr>
            <w:r>
              <w:rPr>
                <w:rFonts w:ascii="Times New Roman" w:hAnsi="Times New Roman" w:eastAsia="Times New Roman"/>
                <w:b/>
                <w:sz w:val="20"/>
              </w:rPr>
              <w:t>N</w:t>
            </w:r>
          </w:p>
        </w:tc>
        <w:tc>
          <w:tcPr>
            <w:tcW w:type="dxa" w:w="1587"/>
            <w:shd w:fill="D9EAF7"/>
            <w:vAlign w:val="center"/>
          </w:tcPr>
          <w:p>
            <w:pPr>
              <w:jc w:val="center"/>
            </w:pPr>
            <w:r>
              <w:rPr>
                <w:rFonts w:ascii="Times New Roman" w:hAnsi="Times New Roman" w:eastAsia="Times New Roman"/>
                <w:b/>
                <w:sz w:val="20"/>
              </w:rPr>
              <w:t>Дундаж өгөөж</w:t>
            </w:r>
          </w:p>
        </w:tc>
        <w:tc>
          <w:tcPr>
            <w:tcW w:type="dxa" w:w="1531"/>
            <w:shd w:fill="D9EAF7"/>
            <w:vAlign w:val="center"/>
          </w:tcPr>
          <w:p>
            <w:pPr>
              <w:jc w:val="center"/>
            </w:pPr>
            <w:r>
              <w:rPr>
                <w:rFonts w:ascii="Times New Roman" w:hAnsi="Times New Roman" w:eastAsia="Times New Roman"/>
                <w:b/>
                <w:sz w:val="20"/>
              </w:rPr>
              <w:t>STR медиан</w:t>
            </w:r>
          </w:p>
        </w:tc>
        <w:tc>
          <w:tcPr>
            <w:tcW w:type="dxa" w:w="1417"/>
            <w:shd w:fill="D9EAF7"/>
            <w:vAlign w:val="center"/>
          </w:tcPr>
          <w:p>
            <w:pPr>
              <w:jc w:val="center"/>
            </w:pPr>
            <w:r>
              <w:rPr>
                <w:rFonts w:ascii="Times New Roman" w:hAnsi="Times New Roman" w:eastAsia="Times New Roman"/>
                <w:b/>
                <w:sz w:val="20"/>
              </w:rPr>
              <w:t>Хотын хувь</w:t>
            </w:r>
          </w:p>
        </w:tc>
        <w:tc>
          <w:tcPr>
            <w:tcW w:type="dxa" w:w="1304"/>
            <w:shd w:fill="D9EAF7"/>
            <w:vAlign w:val="center"/>
          </w:tcPr>
          <w:p>
            <w:pPr>
              <w:jc w:val="center"/>
            </w:pPr>
            <w:r>
              <w:rPr>
                <w:rFonts w:ascii="Times New Roman" w:hAnsi="Times New Roman" w:eastAsia="Times New Roman"/>
                <w:b/>
                <w:sz w:val="20"/>
              </w:rPr>
              <w:t>Дундаж нас</w:t>
            </w:r>
          </w:p>
        </w:tc>
      </w:tr>
      <w:tr>
        <w:tc>
          <w:tcPr>
            <w:tcW w:type="dxa" w:w="2268"/>
            <w:vAlign w:val="center"/>
          </w:tcPr>
          <w:p>
            <w:pPr>
              <w:jc w:val="left"/>
            </w:pPr>
            <w:r>
              <w:rPr>
                <w:rFonts w:ascii="Times New Roman" w:hAnsi="Times New Roman" w:eastAsia="Times New Roman"/>
                <w:sz w:val="20"/>
              </w:rPr>
              <w:t>Доод STR регим</w:t>
            </w:r>
          </w:p>
        </w:tc>
        <w:tc>
          <w:tcPr>
            <w:tcW w:type="dxa" w:w="1134"/>
            <w:vAlign w:val="center"/>
          </w:tcPr>
          <w:p>
            <w:pPr>
              <w:jc w:val="center"/>
            </w:pPr>
            <w:r>
              <w:rPr>
                <w:rFonts w:ascii="Times New Roman" w:hAnsi="Times New Roman" w:eastAsia="Times New Roman"/>
                <w:sz w:val="20"/>
              </w:rPr>
              <w:t>1,051</w:t>
            </w:r>
          </w:p>
        </w:tc>
        <w:tc>
          <w:tcPr>
            <w:tcW w:type="dxa" w:w="1587"/>
            <w:vAlign w:val="center"/>
          </w:tcPr>
          <w:p>
            <w:pPr>
              <w:jc w:val="center"/>
            </w:pPr>
            <w:r>
              <w:rPr>
                <w:rFonts w:ascii="Times New Roman" w:hAnsi="Times New Roman" w:eastAsia="Times New Roman"/>
                <w:sz w:val="20"/>
              </w:rPr>
              <w:t>11.99%</w:t>
            </w:r>
          </w:p>
        </w:tc>
        <w:tc>
          <w:tcPr>
            <w:tcW w:type="dxa" w:w="1531"/>
            <w:vAlign w:val="center"/>
          </w:tcPr>
          <w:p>
            <w:pPr>
              <w:jc w:val="center"/>
            </w:pPr>
            <w:r>
              <w:rPr>
                <w:rFonts w:ascii="Times New Roman" w:hAnsi="Times New Roman" w:eastAsia="Times New Roman"/>
                <w:sz w:val="20"/>
              </w:rPr>
              <w:t>17.76</w:t>
            </w:r>
          </w:p>
        </w:tc>
        <w:tc>
          <w:tcPr>
            <w:tcW w:type="dxa" w:w="1417"/>
            <w:vAlign w:val="center"/>
          </w:tcPr>
          <w:p>
            <w:pPr>
              <w:jc w:val="center"/>
            </w:pPr>
            <w:r>
              <w:rPr>
                <w:rFonts w:ascii="Times New Roman" w:hAnsi="Times New Roman" w:eastAsia="Times New Roman"/>
                <w:sz w:val="20"/>
              </w:rPr>
              <w:t>66.98%</w:t>
            </w:r>
          </w:p>
        </w:tc>
        <w:tc>
          <w:tcPr>
            <w:tcW w:type="dxa" w:w="1304"/>
            <w:vAlign w:val="center"/>
          </w:tcPr>
          <w:p>
            <w:pPr>
              <w:jc w:val="center"/>
            </w:pPr>
            <w:r>
              <w:rPr>
                <w:rFonts w:ascii="Times New Roman" w:hAnsi="Times New Roman" w:eastAsia="Times New Roman"/>
                <w:sz w:val="20"/>
              </w:rPr>
              <w:t>27.20</w:t>
            </w:r>
          </w:p>
        </w:tc>
      </w:tr>
      <w:tr>
        <w:tc>
          <w:tcPr>
            <w:tcW w:type="dxa" w:w="2268"/>
            <w:vAlign w:val="center"/>
          </w:tcPr>
          <w:p>
            <w:pPr>
              <w:jc w:val="left"/>
            </w:pPr>
            <w:r>
              <w:rPr>
                <w:rFonts w:ascii="Times New Roman" w:hAnsi="Times New Roman" w:eastAsia="Times New Roman"/>
                <w:sz w:val="20"/>
              </w:rPr>
              <w:t>Дээд STR регим</w:t>
            </w:r>
          </w:p>
        </w:tc>
        <w:tc>
          <w:tcPr>
            <w:tcW w:type="dxa" w:w="1134"/>
            <w:vAlign w:val="center"/>
          </w:tcPr>
          <w:p>
            <w:pPr>
              <w:jc w:val="center"/>
            </w:pPr>
            <w:r>
              <w:rPr>
                <w:rFonts w:ascii="Times New Roman" w:hAnsi="Times New Roman" w:eastAsia="Times New Roman"/>
                <w:sz w:val="20"/>
              </w:rPr>
              <w:t>2,137</w:t>
            </w:r>
          </w:p>
        </w:tc>
        <w:tc>
          <w:tcPr>
            <w:tcW w:type="dxa" w:w="1587"/>
            <w:vAlign w:val="center"/>
          </w:tcPr>
          <w:p>
            <w:pPr>
              <w:jc w:val="center"/>
            </w:pPr>
            <w:r>
              <w:rPr>
                <w:rFonts w:ascii="Times New Roman" w:hAnsi="Times New Roman" w:eastAsia="Times New Roman"/>
                <w:sz w:val="20"/>
              </w:rPr>
              <w:t>11.04%</w:t>
            </w:r>
          </w:p>
        </w:tc>
        <w:tc>
          <w:tcPr>
            <w:tcW w:type="dxa" w:w="1531"/>
            <w:vAlign w:val="center"/>
          </w:tcPr>
          <w:p>
            <w:pPr>
              <w:jc w:val="center"/>
            </w:pPr>
            <w:r>
              <w:rPr>
                <w:rFonts w:ascii="Times New Roman" w:hAnsi="Times New Roman" w:eastAsia="Times New Roman"/>
                <w:sz w:val="20"/>
              </w:rPr>
              <w:t>22.65</w:t>
            </w:r>
          </w:p>
        </w:tc>
        <w:tc>
          <w:tcPr>
            <w:tcW w:type="dxa" w:w="1417"/>
            <w:vAlign w:val="center"/>
          </w:tcPr>
          <w:p>
            <w:pPr>
              <w:jc w:val="center"/>
            </w:pPr>
            <w:r>
              <w:rPr>
                <w:rFonts w:ascii="Times New Roman" w:hAnsi="Times New Roman" w:eastAsia="Times New Roman"/>
                <w:sz w:val="20"/>
              </w:rPr>
              <w:t>81.09%</w:t>
            </w:r>
          </w:p>
        </w:tc>
        <w:tc>
          <w:tcPr>
            <w:tcW w:type="dxa" w:w="1304"/>
            <w:vAlign w:val="center"/>
          </w:tcPr>
          <w:p>
            <w:pPr>
              <w:jc w:val="center"/>
            </w:pPr>
            <w:r>
              <w:rPr>
                <w:rFonts w:ascii="Times New Roman" w:hAnsi="Times New Roman" w:eastAsia="Times New Roman"/>
                <w:sz w:val="20"/>
              </w:rPr>
              <w:t>31.03</w:t>
            </w:r>
          </w:p>
        </w:tc>
      </w:tr>
    </w:tbl>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STR-ийн 19.53 босгоор хоёр регимд хувааж дундажлахад Instrumental Forest-ийн local IV өгөөж доод регимд 11.99 хувь, дээд регимд 11.04 хувь байна. Энэ үр дүн нь ХХБР загварын дээд STR регимийн өндөр өгөөжийг шууд давтаагүй. Гэхдээ энэ нь загвар буруу гэсэн үг биш, харин өгөөжийн ялгаа зөвхөн нэг босгоор тайлбарлагдахгүй, бусад шинжүүдтэй хамт нөхцөлдөн илэрч байгааг харуулж байна.</w:t>
      </w:r>
    </w:p>
    <w:p>
      <w:pPr>
        <w:spacing w:before="120" w:after="40"/>
        <w:jc w:val="left"/>
      </w:pPr>
      <w:r>
        <w:rPr>
          <w:rFonts w:ascii="Times New Roman" w:hAnsi="Times New Roman" w:eastAsia="Times New Roman"/>
          <w:b/>
          <w:i/>
          <w:sz w:val="20"/>
        </w:rPr>
        <w:t>Зураг 2. Local IV өгөөж ба сурагч-багшийн харьцааны хамаарал</w:t>
      </w:r>
    </w:p>
    <w:p>
      <w:pPr>
        <w:jc w:val="center"/>
      </w:pPr>
      <w:r>
        <w:drawing>
          <wp:inline xmlns:a="http://schemas.openxmlformats.org/drawingml/2006/main" xmlns:pic="http://schemas.openxmlformats.org/drawingml/2006/picture">
            <wp:extent cx="5852160" cy="3803904"/>
            <wp:docPr id="2" name="Picture 2"/>
            <wp:cNvGraphicFramePr>
              <a:graphicFrameLocks noChangeAspect="1"/>
            </wp:cNvGraphicFramePr>
            <a:graphic>
              <a:graphicData uri="http://schemas.openxmlformats.org/drawingml/2006/picture">
                <pic:pic>
                  <pic:nvPicPr>
                    <pic:cNvPr id="0" name="instrumental_forest_tau_by_student_teacher_ratio.png"/>
                    <pic:cNvPicPr/>
                  </pic:nvPicPr>
                  <pic:blipFill>
                    <a:blip r:embed="rId22"/>
                    <a:stretch>
                      <a:fillRect/>
                    </a:stretch>
                  </pic:blipFill>
                  <pic:spPr>
                    <a:xfrm>
                      <a:off x="0" y="0"/>
                      <a:ext cx="5852160" cy="3803904"/>
                    </a:xfrm>
                    <a:prstGeom prst="rect"/>
                  </pic:spPr>
                </pic:pic>
              </a:graphicData>
            </a:graphic>
          </wp:inline>
        </w:drawing>
      </w:r>
    </w:p>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Зураг 2-т local IV өгөөжийг 17-18 насны сурагч-багшийн дундаж харьцаатай харьцуулан дүрслэв. Босго орчимд хоёр регимийн ажиглалтууд нягт байрлаж байгаа бөгөөд өгөөжийн муруй шулуун өсөлт эсвэл бууралтын нэг хэв маягтай биш байна. Иймээс STR нь өгөөжийн ялгааг тайлбарлахад оролцож байгаа боловч ганцаараа бүх ялгааг тодорхойлох үзүүлэлт биш гэж тайлбарлах нь зүйтэй.</w:t>
      </w:r>
    </w:p>
    <w:p>
      <w:pPr>
        <w:spacing w:before="240" w:after="120"/>
        <w:jc w:val="left"/>
      </w:pPr>
      <w:r>
        <w:rPr>
          <w:rFonts w:ascii="Times New Roman" w:hAnsi="Times New Roman" w:eastAsia="Times New Roman"/>
          <w:b/>
          <w:sz w:val="24"/>
        </w:rPr>
        <w:t>4.4. Variable importance-ийн үр дүн</w:t>
      </w:r>
    </w:p>
    <w:p>
      <w:pPr>
        <w:spacing w:before="120" w:after="40"/>
        <w:jc w:val="left"/>
      </w:pPr>
      <w:r>
        <w:rPr>
          <w:rFonts w:ascii="Times New Roman" w:hAnsi="Times New Roman" w:eastAsia="Times New Roman"/>
          <w:b/>
          <w:i/>
          <w:sz w:val="20"/>
        </w:rPr>
        <w:t>Хүснэгт 5. Variable importance-ийн нэгтгэл</w:t>
      </w:r>
    </w:p>
    <w:tbl>
      <w:tblPr>
        <w:tblStyle w:val="TableGrid"/>
        <w:tblW w:type="auto" w:w="0"/>
        <w:jc w:val="center"/>
        <w:tblLook w:firstColumn="1" w:firstRow="1" w:lastColumn="0" w:lastRow="0" w:noHBand="0" w:noVBand="1" w:val="04A0"/>
      </w:tblPr>
      <w:tblGrid>
        <w:gridCol w:w="4535"/>
        <w:gridCol w:w="4535"/>
      </w:tblGrid>
      <w:tr>
        <w:tc>
          <w:tcPr>
            <w:tcW w:type="dxa" w:w="4535"/>
            <w:shd w:fill="D9EAF7"/>
            <w:vAlign w:val="center"/>
          </w:tcPr>
          <w:p>
            <w:pPr>
              <w:jc w:val="center"/>
            </w:pPr>
            <w:r>
              <w:rPr>
                <w:rFonts w:ascii="Times New Roman" w:hAnsi="Times New Roman" w:eastAsia="Times New Roman"/>
                <w:b/>
                <w:sz w:val="20"/>
              </w:rPr>
              <w:t>Хувьсагчийн бүлэг</w:t>
            </w:r>
          </w:p>
        </w:tc>
        <w:tc>
          <w:tcPr>
            <w:tcW w:type="dxa" w:w="2835"/>
            <w:shd w:fill="D9EAF7"/>
            <w:vAlign w:val="center"/>
          </w:tcPr>
          <w:p>
            <w:pPr>
              <w:jc w:val="center"/>
            </w:pPr>
            <w:r>
              <w:rPr>
                <w:rFonts w:ascii="Times New Roman" w:hAnsi="Times New Roman" w:eastAsia="Times New Roman"/>
                <w:b/>
                <w:sz w:val="20"/>
              </w:rPr>
              <w:t>Харьцангуй ач холбогдол</w:t>
            </w:r>
          </w:p>
        </w:tc>
      </w:tr>
      <w:tr>
        <w:tc>
          <w:tcPr>
            <w:tcW w:type="dxa" w:w="4535"/>
            <w:vAlign w:val="center"/>
          </w:tcPr>
          <w:p>
            <w:pPr>
              <w:jc w:val="left"/>
            </w:pPr>
            <w:r>
              <w:rPr>
                <w:rFonts w:ascii="Times New Roman" w:hAnsi="Times New Roman" w:eastAsia="Times New Roman"/>
                <w:sz w:val="20"/>
              </w:rPr>
              <w:t>Хувийн шинж</w:t>
            </w:r>
          </w:p>
        </w:tc>
        <w:tc>
          <w:tcPr>
            <w:tcW w:type="dxa" w:w="2835"/>
            <w:vAlign w:val="center"/>
          </w:tcPr>
          <w:p>
            <w:pPr>
              <w:jc w:val="center"/>
            </w:pPr>
            <w:r>
              <w:rPr>
                <w:rFonts w:ascii="Times New Roman" w:hAnsi="Times New Roman" w:eastAsia="Times New Roman"/>
                <w:sz w:val="20"/>
              </w:rPr>
              <w:t>48.02%</w:t>
            </w:r>
          </w:p>
        </w:tc>
      </w:tr>
      <w:tr>
        <w:tc>
          <w:tcPr>
            <w:tcW w:type="dxa" w:w="4535"/>
            <w:vAlign w:val="center"/>
          </w:tcPr>
          <w:p>
            <w:pPr>
              <w:jc w:val="left"/>
            </w:pPr>
            <w:r>
              <w:rPr>
                <w:rFonts w:ascii="Times New Roman" w:hAnsi="Times New Roman" w:eastAsia="Times New Roman"/>
                <w:sz w:val="20"/>
              </w:rPr>
              <w:t>Сургуулийн хүртээмж</w:t>
            </w:r>
          </w:p>
        </w:tc>
        <w:tc>
          <w:tcPr>
            <w:tcW w:type="dxa" w:w="2835"/>
            <w:vAlign w:val="center"/>
          </w:tcPr>
          <w:p>
            <w:pPr>
              <w:jc w:val="center"/>
            </w:pPr>
            <w:r>
              <w:rPr>
                <w:rFonts w:ascii="Times New Roman" w:hAnsi="Times New Roman" w:eastAsia="Times New Roman"/>
                <w:sz w:val="20"/>
              </w:rPr>
              <w:t>19.23%</w:t>
            </w:r>
          </w:p>
        </w:tc>
      </w:tr>
      <w:tr>
        <w:tc>
          <w:tcPr>
            <w:tcW w:type="dxa" w:w="4535"/>
            <w:vAlign w:val="center"/>
          </w:tcPr>
          <w:p>
            <w:pPr>
              <w:jc w:val="left"/>
            </w:pPr>
            <w:r>
              <w:rPr>
                <w:rFonts w:ascii="Times New Roman" w:hAnsi="Times New Roman" w:eastAsia="Times New Roman"/>
                <w:sz w:val="20"/>
              </w:rPr>
              <w:t>Сурагч-багшийн харьцаа</w:t>
            </w:r>
          </w:p>
        </w:tc>
        <w:tc>
          <w:tcPr>
            <w:tcW w:type="dxa" w:w="2835"/>
            <w:vAlign w:val="center"/>
          </w:tcPr>
          <w:p>
            <w:pPr>
              <w:jc w:val="center"/>
            </w:pPr>
            <w:r>
              <w:rPr>
                <w:rFonts w:ascii="Times New Roman" w:hAnsi="Times New Roman" w:eastAsia="Times New Roman"/>
                <w:sz w:val="20"/>
              </w:rPr>
              <w:t>15.23%</w:t>
            </w:r>
          </w:p>
        </w:tc>
      </w:tr>
      <w:tr>
        <w:tc>
          <w:tcPr>
            <w:tcW w:type="dxa" w:w="4535"/>
            <w:vAlign w:val="center"/>
          </w:tcPr>
          <w:p>
            <w:pPr>
              <w:jc w:val="left"/>
            </w:pPr>
            <w:r>
              <w:rPr>
                <w:rFonts w:ascii="Times New Roman" w:hAnsi="Times New Roman" w:eastAsia="Times New Roman"/>
                <w:sz w:val="20"/>
              </w:rPr>
              <w:t>Судалгааны давалгаа</w:t>
            </w:r>
          </w:p>
        </w:tc>
        <w:tc>
          <w:tcPr>
            <w:tcW w:type="dxa" w:w="2835"/>
            <w:vAlign w:val="center"/>
          </w:tcPr>
          <w:p>
            <w:pPr>
              <w:jc w:val="center"/>
            </w:pPr>
            <w:r>
              <w:rPr>
                <w:rFonts w:ascii="Times New Roman" w:hAnsi="Times New Roman" w:eastAsia="Times New Roman"/>
                <w:sz w:val="20"/>
              </w:rPr>
              <w:t>10.22%</w:t>
            </w:r>
          </w:p>
        </w:tc>
      </w:tr>
      <w:tr>
        <w:tc>
          <w:tcPr>
            <w:tcW w:type="dxa" w:w="4535"/>
            <w:vAlign w:val="center"/>
          </w:tcPr>
          <w:p>
            <w:pPr>
              <w:jc w:val="left"/>
            </w:pPr>
            <w:r>
              <w:rPr>
                <w:rFonts w:ascii="Times New Roman" w:hAnsi="Times New Roman" w:eastAsia="Times New Roman"/>
                <w:sz w:val="20"/>
              </w:rPr>
              <w:t>Төрсөн үе</w:t>
            </w:r>
          </w:p>
        </w:tc>
        <w:tc>
          <w:tcPr>
            <w:tcW w:type="dxa" w:w="2835"/>
            <w:vAlign w:val="center"/>
          </w:tcPr>
          <w:p>
            <w:pPr>
              <w:jc w:val="center"/>
            </w:pPr>
            <w:r>
              <w:rPr>
                <w:rFonts w:ascii="Times New Roman" w:hAnsi="Times New Roman" w:eastAsia="Times New Roman"/>
                <w:sz w:val="20"/>
              </w:rPr>
              <w:t>7.29%</w:t>
            </w:r>
          </w:p>
        </w:tc>
      </w:tr>
      <w:tr>
        <w:tc>
          <w:tcPr>
            <w:tcW w:type="dxa" w:w="4535"/>
            <w:vAlign w:val="center"/>
          </w:tcPr>
          <w:p>
            <w:pPr>
              <w:jc w:val="left"/>
            </w:pPr>
            <w:r>
              <w:rPr>
                <w:rFonts w:ascii="Times New Roman" w:hAnsi="Times New Roman" w:eastAsia="Times New Roman"/>
                <w:sz w:val="20"/>
              </w:rPr>
              <w:t>Төрсөн аймаг</w:t>
            </w:r>
          </w:p>
        </w:tc>
        <w:tc>
          <w:tcPr>
            <w:tcW w:type="dxa" w:w="2835"/>
            <w:vAlign w:val="center"/>
          </w:tcPr>
          <w:p>
            <w:pPr>
              <w:jc w:val="center"/>
            </w:pPr>
            <w:r>
              <w:rPr>
                <w:rFonts w:ascii="Times New Roman" w:hAnsi="Times New Roman" w:eastAsia="Times New Roman"/>
                <w:sz w:val="20"/>
              </w:rPr>
              <w:t>0.00%</w:t>
            </w:r>
          </w:p>
        </w:tc>
      </w:tr>
    </w:tbl>
    <w:p>
      <w:pPr>
        <w:spacing w:before="40" w:after="120"/>
        <w:jc w:val="left"/>
      </w:pPr>
      <w:r>
        <w:rPr>
          <w:rFonts w:ascii="Times New Roman" w:hAnsi="Times New Roman" w:eastAsia="Times New Roman"/>
          <w:i/>
          <w:sz w:val="18"/>
        </w:rPr>
        <w:t>Эх сурвалж: Зохиогчийн тооцоолол.</w:t>
      </w:r>
    </w:p>
    <w:p>
      <w:pPr>
        <w:spacing w:before="120" w:after="40"/>
        <w:jc w:val="left"/>
      </w:pPr>
      <w:r>
        <w:rPr>
          <w:rFonts w:ascii="Times New Roman" w:hAnsi="Times New Roman" w:eastAsia="Times New Roman"/>
          <w:b/>
          <w:i/>
          <w:sz w:val="20"/>
        </w:rPr>
        <w:t>Зураг 3. Өгөөжийн ялгааг тайлбарлах хувьсагчдын ач холбогдол</w:t>
      </w:r>
    </w:p>
    <w:p>
      <w:pPr>
        <w:jc w:val="center"/>
      </w:pPr>
      <w:r>
        <w:drawing>
          <wp:inline xmlns:a="http://schemas.openxmlformats.org/drawingml/2006/main" xmlns:pic="http://schemas.openxmlformats.org/drawingml/2006/picture">
            <wp:extent cx="5577840" cy="3618058"/>
            <wp:docPr id="3" name="Picture 3"/>
            <wp:cNvGraphicFramePr>
              <a:graphicFrameLocks noChangeAspect="1"/>
            </wp:cNvGraphicFramePr>
            <a:graphic>
              <a:graphicData uri="http://schemas.openxmlformats.org/drawingml/2006/picture">
                <pic:pic>
                  <pic:nvPicPr>
                    <pic:cNvPr id="0" name="instrumental_forest_variable_importance.png"/>
                    <pic:cNvPicPr/>
                  </pic:nvPicPr>
                  <pic:blipFill>
                    <a:blip r:embed="rId23"/>
                    <a:stretch>
                      <a:fillRect/>
                    </a:stretch>
                  </pic:blipFill>
                  <pic:spPr>
                    <a:xfrm>
                      <a:off x="0" y="0"/>
                      <a:ext cx="5577840" cy="3618058"/>
                    </a:xfrm>
                    <a:prstGeom prst="rect"/>
                  </pic:spPr>
                </pic:pic>
              </a:graphicData>
            </a:graphic>
          </wp:inline>
        </w:drawing>
      </w:r>
    </w:p>
    <w:p>
      <w:pPr>
        <w:spacing w:before="40" w:after="120"/>
        <w:jc w:val="left"/>
      </w:pPr>
      <w:r>
        <w:rPr>
          <w:rFonts w:ascii="Times New Roman" w:hAnsi="Times New Roman" w:eastAsia="Times New Roman"/>
          <w:i/>
          <w:sz w:val="18"/>
        </w:rPr>
        <w:t>Эх сурвалж: Зохиогчийн тооцоолол.</w:t>
      </w:r>
    </w:p>
    <w:p>
      <w:pPr>
        <w:spacing w:line="360" w:lineRule="auto" w:before="120" w:after="120"/>
        <w:ind w:firstLine="709"/>
        <w:jc w:val="both"/>
      </w:pPr>
      <w:r>
        <w:rPr>
          <w:rFonts w:ascii="Times New Roman" w:hAnsi="Times New Roman" w:eastAsia="Times New Roman"/>
          <w:b w:val="0"/>
          <w:i w:val="0"/>
        </w:rPr>
        <w:t>Variable importance-ийн үр дүнгээр өгөөжийн ялгааг ялгахад хувийн шинжүүд 48.02 хувь, сургуулийн хүртээмж 19.23 хувь, сурагч-багшийн харьцаа 15.23 хувь, судалгааны давалгаа 10.22 хувь, төрсөн үе 7.29 хувийн харьцангуй ач холбогдолтой байна. Энэ нь боловсролын өгөөжийн ялгаа зөвхөн STR босгоор биш, хувийн болон институцийн олон шинжээр хамт тодорхойлогдож байгааг харуулна.</w:t>
      </w:r>
    </w:p>
    <w:p>
      <w:pPr>
        <w:spacing w:before="240" w:after="120"/>
        <w:jc w:val="left"/>
      </w:pPr>
      <w:r>
        <w:rPr>
          <w:rFonts w:ascii="Times New Roman" w:hAnsi="Times New Roman" w:eastAsia="Times New Roman"/>
          <w:b/>
          <w:sz w:val="28"/>
        </w:rPr>
        <w:t>V БҮЛЭГ. ДҮГНЭЛТ БА ТАЙЛАНД АШИГЛАХ ЗӨВЛӨМЖ</w:t>
      </w:r>
    </w:p>
    <w:p>
      <w:pPr>
        <w:spacing w:line="360" w:lineRule="auto" w:before="120" w:after="120"/>
        <w:ind w:firstLine="709"/>
        <w:jc w:val="both"/>
      </w:pPr>
      <w:r>
        <w:rPr>
          <w:rFonts w:ascii="Times New Roman" w:hAnsi="Times New Roman" w:eastAsia="Times New Roman"/>
          <w:b w:val="0"/>
          <w:i w:val="0"/>
        </w:rPr>
        <w:t>Энэхүү нэмэлт тайлангаар Instrumental Forest аргыг ашиглан боловсролын өгөөжийн ялгаатай байдлыг эрэл хайгуулын байдлаар үнэлэв. Үр дүнгээр local IV өгөөжийн дундаж 11.35 хувь, медиан 10.58 хувь гарсан нь үндсэн ХШХБК үнэлгээтэй ойролцоо байна. Иймээс model нийт өгөөжийн түвшинд үндсэн судалгаатай нийцэж байна.</w:t>
      </w:r>
    </w:p>
    <w:p>
      <w:pPr>
        <w:spacing w:line="360" w:lineRule="auto" w:before="120" w:after="120"/>
        <w:ind w:firstLine="709"/>
        <w:jc w:val="both"/>
      </w:pPr>
      <w:r>
        <w:rPr>
          <w:rFonts w:ascii="Times New Roman" w:hAnsi="Times New Roman" w:eastAsia="Times New Roman"/>
          <w:b w:val="0"/>
          <w:i w:val="0"/>
        </w:rPr>
        <w:t>Гэхдээ local IV өгөөжийн 10-90 хувийн муж 6.92-16.84 хувь байгаа нь боловсролын өгөөж нэг дундаж коэффициентээр бүрэн тайлбарлагдахгүйг харуулна. Өгөөжийн дээд 25 хувийн бүлгийн дундаж өгөөж 16.93 хувь, доод 25 хувийн бүлгийнх 6.95 хувь байгаа нь subgroup heterogeneity бодитой байж болохыг илтгэнэ.</w:t>
      </w:r>
    </w:p>
    <w:p>
      <w:pPr>
        <w:spacing w:line="360" w:lineRule="auto" w:before="120" w:after="120"/>
        <w:ind w:firstLine="709"/>
        <w:jc w:val="both"/>
      </w:pPr>
      <w:r>
        <w:rPr>
          <w:rFonts w:ascii="Times New Roman" w:hAnsi="Times New Roman" w:eastAsia="Times New Roman"/>
          <w:b w:val="0"/>
          <w:i w:val="0"/>
        </w:rPr>
        <w:t>Энэ шинжилгээний хамгийн зөв хэрэглээ нь үндсэн ХХБР үр дүнг орлуулах бус, түүнийг баяжуулах явдал юм. ХХБР загвар 17-18 насны сурагч-багшийн харьцааны тодорхой босгоор өгөөж ялгаатай эсэхийг шалгадаг бол Instrumental Forest нь өгөөжийн ялгаа сургуулийн хүртээмж, STR, хувь хүний шинж, судалгааны давалгаа, төрсөн үе зэрэг олон хүчин зүйлтэй хамт илэрч байгааг харуулна.</w:t>
      </w:r>
    </w:p>
    <w:p>
      <w:pPr>
        <w:spacing w:line="360" w:lineRule="auto" w:before="120" w:after="120"/>
        <w:ind w:firstLine="709"/>
        <w:jc w:val="both"/>
      </w:pPr>
      <w:r>
        <w:rPr>
          <w:rFonts w:ascii="Times New Roman" w:hAnsi="Times New Roman" w:eastAsia="Times New Roman"/>
          <w:b w:val="0"/>
          <w:i w:val="0"/>
        </w:rPr>
        <w:t>Иймээс үндсэн тайланд дараах болгоомжтой өгүүлбэрийг ашиглахыг зөвлөж байна: Instrumental Forest-ийн нэмэлт шинжилгээ нь боловсролын өгөөжийн дундаж таамаглал ХШХБК үнэлгээтэй ойролцоо боловч өгөөж хувь хүмүүсийн шинж болон сургуулийн орчны үзүүлэлтүүдээр ялгаатай тархаж байгааг харууллаа. Энэхүү үр дүн нь ХХБР загварын босго үр дүнг шалтгаант баталгаа болгон орлохгүй, харин боловсролын өгөөжийн heterogeneity олон хэмжээст шинжтэй болохыг дэмжсэн exploratory evidence юм.</w:t>
      </w:r>
    </w:p>
    <w:p>
      <w:pPr>
        <w:spacing w:line="360" w:lineRule="auto" w:before="120" w:after="120"/>
        <w:ind w:firstLine="709"/>
        <w:jc w:val="both"/>
      </w:pPr>
      <w:r>
        <w:rPr>
          <w:rFonts w:ascii="Times New Roman" w:hAnsi="Times New Roman" w:eastAsia="Times New Roman"/>
          <w:b w:val="0"/>
          <w:i w:val="0"/>
        </w:rPr>
        <w:t>Харин дараах дүгнэлтийг хийхээс зайлсхийх шаардлагатай: Instrumental Forest нь STR-ийн дээд регимд өгөөж статистикийн хувьд заавал өндөр гэдгийг баталсан гэж хэлж болохгүй. Учир нь forest-ийн регимээр дундажласан үр дүн ХХБР-ийн чиглэлийг яг давтаагүй бөгөөд энэ арга нь статистикийн ач холбогдлын уламжлалт нэг p-утгатай тест бус, heterogeneity-г зураглах нэмэлт machine learning арга юм.</w:t>
      </w:r>
    </w:p>
    <w:p>
      <w:pPr>
        <w:spacing w:before="240" w:after="120"/>
        <w:jc w:val="left"/>
      </w:pPr>
      <w:r>
        <w:rPr>
          <w:rFonts w:ascii="Times New Roman" w:hAnsi="Times New Roman" w:eastAsia="Times New Roman"/>
          <w:b/>
          <w:sz w:val="28"/>
        </w:rPr>
        <w:t>НОМ ЗҮЙ</w:t>
      </w:r>
    </w:p>
    <w:p>
      <w:pPr>
        <w:spacing w:line="360" w:lineRule="auto" w:before="120" w:after="120"/>
        <w:ind w:left="425" w:hanging="425"/>
        <w:jc w:val="both"/>
      </w:pPr>
      <w:r>
        <w:rPr>
          <w:rFonts w:ascii="Times New Roman" w:hAnsi="Times New Roman" w:eastAsia="Times New Roman"/>
          <w:b w:val="0"/>
          <w:i w:val="0"/>
        </w:rPr>
        <w:t>1. Athey, S., Tibshirani, J., &amp; Wager, S. (2019). Generalized random forests. Annals of Statistics, 47(2), 1148-1178.</w:t>
      </w:r>
    </w:p>
    <w:p>
      <w:pPr>
        <w:spacing w:line="360" w:lineRule="auto" w:before="120" w:after="120"/>
        <w:ind w:left="425" w:hanging="425"/>
        <w:jc w:val="both"/>
      </w:pPr>
      <w:r>
        <w:rPr>
          <w:rFonts w:ascii="Times New Roman" w:hAnsi="Times New Roman" w:eastAsia="Times New Roman"/>
          <w:b w:val="0"/>
          <w:i w:val="0"/>
        </w:rPr>
        <w:t>2. Card, D. (1999). The causal effect of education on earnings. In O. Ashenfelter &amp; D. Card (Eds.), Handbook of Labor Economics (Vol. 3A, pp. 1801-1863). Elsevier.</w:t>
      </w:r>
    </w:p>
    <w:p>
      <w:pPr>
        <w:spacing w:line="360" w:lineRule="auto" w:before="120" w:after="120"/>
        <w:ind w:left="425" w:hanging="425"/>
        <w:jc w:val="both"/>
      </w:pPr>
      <w:r>
        <w:rPr>
          <w:rFonts w:ascii="Times New Roman" w:hAnsi="Times New Roman" w:eastAsia="Times New Roman"/>
          <w:b w:val="0"/>
          <w:i w:val="0"/>
        </w:rPr>
        <w:t>3. Caner, M., &amp; Hansen, B. E. (2004). Instrumental variable estimation of a threshold model. Econometric Theory, 20(5), 813-843.</w:t>
      </w:r>
    </w:p>
    <w:p>
      <w:pPr>
        <w:spacing w:line="360" w:lineRule="auto" w:before="120" w:after="120"/>
        <w:ind w:left="425" w:hanging="425"/>
        <w:jc w:val="both"/>
      </w:pPr>
      <w:r>
        <w:rPr>
          <w:rFonts w:ascii="Times New Roman" w:hAnsi="Times New Roman" w:eastAsia="Times New Roman"/>
          <w:b w:val="0"/>
          <w:i w:val="0"/>
        </w:rPr>
        <w:t>4. Chernozhukov, V., Chetverikov, D., Demirer, M., Duflo, E., Hansen, C., Newey, W., &amp; Robins, J. (2018). Double/debiased machine learning for treatment and structural parameters. Econometrics Journal, 21(1), C1-C68.</w:t>
      </w:r>
    </w:p>
    <w:p>
      <w:pPr>
        <w:spacing w:line="360" w:lineRule="auto" w:before="120" w:after="120"/>
        <w:ind w:left="425" w:hanging="425"/>
        <w:jc w:val="both"/>
      </w:pPr>
      <w:r>
        <w:rPr>
          <w:rFonts w:ascii="Times New Roman" w:hAnsi="Times New Roman" w:eastAsia="Times New Roman"/>
          <w:b w:val="0"/>
          <w:i w:val="0"/>
        </w:rPr>
        <w:t>5. Mincer, J. (1974). Schooling, experience, and earnings. National Bureau of Economic Research.</w:t>
      </w:r>
    </w:p>
    <w:p>
      <w:pPr>
        <w:spacing w:line="360" w:lineRule="auto" w:before="120" w:after="120"/>
        <w:ind w:left="425" w:hanging="425"/>
        <w:jc w:val="both"/>
      </w:pPr>
      <w:r>
        <w:rPr>
          <w:rFonts w:ascii="Times New Roman" w:hAnsi="Times New Roman" w:eastAsia="Times New Roman"/>
          <w:b w:val="0"/>
          <w:i w:val="0"/>
        </w:rPr>
        <w:t>6. Tibshirani, J., Athey, S., Friedberg, R., Hadad, V., Hirshberg, D., Miner, L., Sverdrup, E., Wager, S., Wright, M., &amp; grf contributors. (2024). grf: Generalized Random Forests. R package.</w:t>
      </w:r>
    </w:p>
    <w:p>
      <w:pPr>
        <w:spacing w:line="360" w:lineRule="auto" w:before="120" w:after="120"/>
        <w:ind w:left="425" w:hanging="425"/>
        <w:jc w:val="both"/>
      </w:pPr>
      <w:r>
        <w:rPr>
          <w:rFonts w:ascii="Times New Roman" w:hAnsi="Times New Roman" w:eastAsia="Times New Roman"/>
          <w:b w:val="0"/>
          <w:i w:val="0"/>
        </w:rPr>
        <w:t>7. Үндэсний статистикийн хороо. (2024). Өрхийн нийгэм эдийн засгийн судалгаа 2024. ҮСХ. https://data.1212.mn</w:t>
      </w:r>
    </w:p>
    <w:p>
      <w:pPr>
        <w:spacing w:before="240" w:after="120"/>
        <w:jc w:val="left"/>
      </w:pPr>
      <w:r>
        <w:rPr>
          <w:rFonts w:ascii="Times New Roman" w:hAnsi="Times New Roman" w:eastAsia="Times New Roman"/>
          <w:b/>
          <w:sz w:val="28"/>
        </w:rPr>
        <w:t>ХАВСРАЛТ</w:t>
      </w:r>
    </w:p>
    <w:p>
      <w:pPr>
        <w:spacing w:before="240" w:after="120"/>
        <w:jc w:val="left"/>
      </w:pPr>
      <w:r>
        <w:rPr>
          <w:rFonts w:ascii="Times New Roman" w:hAnsi="Times New Roman" w:eastAsia="Times New Roman"/>
          <w:b/>
          <w:sz w:val="24"/>
        </w:rPr>
        <w:t>Хавсралт А. Давтан ажиллуулах код</w:t>
      </w:r>
    </w:p>
    <w:p>
      <w:pPr>
        <w:spacing w:line="360" w:lineRule="auto" w:before="120" w:after="120"/>
        <w:ind w:firstLine="709"/>
        <w:jc w:val="both"/>
      </w:pPr>
      <w:r>
        <w:rPr>
          <w:rFonts w:ascii="Times New Roman" w:hAnsi="Times New Roman" w:eastAsia="Times New Roman"/>
          <w:b w:val="0"/>
          <w:i w:val="0"/>
        </w:rPr>
        <w:t>Instrumental Forest шинжилгээг дараах R script-ээр бүрэн давтан ажиллуулах боломжтой: R/31_instrumental_forest.R. Script нь ivtr_ready_parent_educ_mean_student_teacher_avg_17_18.rds түүврийг уншиж, grf::instrumental_forest функцээр local IV өгөөжийг тооцоод output/tables болон output/figures хавтаст хүснэгт, зургуудыг хадгална.</w:t>
      </w:r>
    </w:p>
    <w:p>
      <w:pPr>
        <w:spacing w:line="360" w:lineRule="auto" w:before="120" w:after="120"/>
        <w:jc w:val="both"/>
      </w:pPr>
      <w:r>
        <w:rPr>
          <w:rFonts w:ascii="Times New Roman" w:hAnsi="Times New Roman" w:eastAsia="Times New Roman"/>
          <w:b w:val="0"/>
          <w:i w:val="0"/>
        </w:rPr>
        <w:t>PowerShell жишээ команд:</w:t>
      </w:r>
    </w:p>
    <w:p>
      <w:pPr>
        <w:spacing w:line="360" w:lineRule="auto" w:before="120" w:after="120"/>
        <w:jc w:val="both"/>
      </w:pPr>
      <w:r>
        <w:rPr>
          <w:rFonts w:ascii="Times New Roman" w:hAnsi="Times New Roman" w:eastAsia="Times New Roman"/>
          <w:b w:val="0"/>
          <w:i w:val="0"/>
        </w:rPr>
        <w:t>$env:GRF_TREES='2000'; $env:GRF_THREADS='3'; Rscript R/31_instrumental_forest.R</w:t>
      </w:r>
    </w:p>
    <w:p>
      <w:pPr>
        <w:spacing w:before="240" w:after="120"/>
        <w:jc w:val="left"/>
      </w:pPr>
      <w:r>
        <w:rPr>
          <w:rFonts w:ascii="Times New Roman" w:hAnsi="Times New Roman" w:eastAsia="Times New Roman"/>
          <w:b/>
          <w:sz w:val="24"/>
        </w:rPr>
        <w:t>Хавсралт Б. Үр дүнгийн файлууд</w:t>
      </w:r>
    </w:p>
    <w:p>
      <w:pPr>
        <w:spacing w:line="360" w:lineRule="auto" w:before="120" w:after="120"/>
        <w:jc w:val="both"/>
      </w:pPr>
      <w:r>
        <w:rPr>
          <w:rFonts w:ascii="Times New Roman" w:hAnsi="Times New Roman" w:eastAsia="Times New Roman"/>
          <w:b w:val="0"/>
          <w:i w:val="0"/>
        </w:rPr>
        <w:t>output/tables/T16_instrumental_forest_summary.csv</w:t>
      </w:r>
    </w:p>
    <w:p>
      <w:pPr>
        <w:spacing w:line="360" w:lineRule="auto" w:before="120" w:after="120"/>
        <w:jc w:val="both"/>
      </w:pPr>
      <w:r>
        <w:rPr>
          <w:rFonts w:ascii="Times New Roman" w:hAnsi="Times New Roman" w:eastAsia="Times New Roman"/>
          <w:b w:val="0"/>
          <w:i w:val="0"/>
        </w:rPr>
        <w:t>output/tables/T16_instrumental_forest_tau_quartiles.csv</w:t>
      </w:r>
    </w:p>
    <w:p>
      <w:pPr>
        <w:spacing w:line="360" w:lineRule="auto" w:before="120" w:after="120"/>
        <w:jc w:val="both"/>
      </w:pPr>
      <w:r>
        <w:rPr>
          <w:rFonts w:ascii="Times New Roman" w:hAnsi="Times New Roman" w:eastAsia="Times New Roman"/>
          <w:b w:val="0"/>
          <w:i w:val="0"/>
        </w:rPr>
        <w:t>output/tables/T16_instrumental_forest_threshold_regimes.csv</w:t>
      </w:r>
    </w:p>
    <w:p>
      <w:pPr>
        <w:spacing w:line="360" w:lineRule="auto" w:before="120" w:after="120"/>
        <w:jc w:val="both"/>
      </w:pPr>
      <w:r>
        <w:rPr>
          <w:rFonts w:ascii="Times New Roman" w:hAnsi="Times New Roman" w:eastAsia="Times New Roman"/>
          <w:b w:val="0"/>
          <w:i w:val="0"/>
        </w:rPr>
        <w:t>output/tables/T16_instrumental_forest_variable_importance.csv</w:t>
      </w:r>
    </w:p>
    <w:p>
      <w:pPr>
        <w:spacing w:line="360" w:lineRule="auto" w:before="120" w:after="120"/>
        <w:jc w:val="both"/>
      </w:pPr>
      <w:r>
        <w:rPr>
          <w:rFonts w:ascii="Times New Roman" w:hAnsi="Times New Roman" w:eastAsia="Times New Roman"/>
          <w:b w:val="0"/>
          <w:i w:val="0"/>
        </w:rPr>
        <w:t>output/figures/instrumental_forest_tau_distribution.png</w:t>
      </w:r>
    </w:p>
    <w:p>
      <w:pPr>
        <w:spacing w:line="360" w:lineRule="auto" w:before="120" w:after="120"/>
        <w:jc w:val="both"/>
      </w:pPr>
      <w:r>
        <w:rPr>
          <w:rFonts w:ascii="Times New Roman" w:hAnsi="Times New Roman" w:eastAsia="Times New Roman"/>
          <w:b w:val="0"/>
          <w:i w:val="0"/>
        </w:rPr>
        <w:t>output/figures/instrumental_forest_tau_by_student_teacher_ratio.png</w:t>
      </w:r>
    </w:p>
    <w:p>
      <w:pPr>
        <w:spacing w:line="360" w:lineRule="auto" w:before="120" w:after="120"/>
        <w:jc w:val="both"/>
      </w:pPr>
      <w:r>
        <w:rPr>
          <w:rFonts w:ascii="Times New Roman" w:hAnsi="Times New Roman" w:eastAsia="Times New Roman"/>
          <w:b w:val="0"/>
          <w:i w:val="0"/>
        </w:rPr>
        <w:t>output/figures/instrumental_forest_variable_importance.png</w:t>
      </w:r>
    </w:p>
    <w:sectPr w:rsidR="000B782D" w:rsidSect="007C39BB">
      <w:footerReference w:type="default" r:id="rId17"/>
      <w:headerReference w:type="default" r:id="rId20"/>
      <w:pgSz w:w="11906" w:h="16838"/>
      <w:pgMar w:top="1417" w:right="1134" w:bottom="1134" w:left="1701" w:header="68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jc w:val="both"/>
    </w:pPr>
    <w:rPr>
      <w:rFonts w:ascii="Times New Roman" w:hAnsi="Times New Roman" w:eastAsia="Times New Roman"/>
      <w:sz w:val="24"/>
    </w:rPr>
  </w:style>
  <w:style w:type="paragraph" w:styleId="Heading1">
    <w:name w:val="heading 1"/>
    <w:link w:val="Heading1Char"/>
    <w:uiPriority w:val="9"/>
    <w:qFormat/>
    <w:rsid w:val="0032381D"/>
    <w:pPr>
      <w:spacing w:before="240" w:after="120" w:line="360" w:lineRule="auto"/>
      <w:outlineLvl w:val="0"/>
    </w:pPr>
    <w:rPr>
      <w:rFonts w:ascii="Times New Roman" w:hAnsi="Times New Roman" w:eastAsia="Times New Roman"/>
      <w:b/>
      <w:bCs/>
      <w:sz w:val="28"/>
      <w:szCs w:val="32"/>
    </w:rPr>
  </w:style>
  <w:style w:type="paragraph" w:styleId="Heading2">
    <w:name w:val="heading 2"/>
    <w:uiPriority w:val="9"/>
    <w:unhideWhenUsed/>
    <w:qFormat/>
    <w:rsid w:val="008031FF"/>
    <w:pPr>
      <w:spacing w:before="240" w:after="120" w:line="360" w:lineRule="auto"/>
      <w:outlineLvl w:val="1"/>
    </w:pPr>
    <w:rPr>
      <w:rFonts w:ascii="Times New Roman" w:hAnsi="Times New Roman" w:eastAsia="Times New Roman"/>
      <w:b/>
      <w:bCs/>
      <w:sz w:val="24"/>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line="360" w:lineRule="auto"/>
    </w:pPr>
    <w:rPr>
      <w:rFonts w:ascii="Times New Roman" w:hAnsi="Times New Roman" w:eastAsia="Times New Roman"/>
      <w:b/>
      <w:sz w:val="4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header" Target="head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