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240" w:after="120"/>
        <w:jc w:val="left"/>
      </w:pPr>
      <w:r>
        <w:rPr>
          <w:rFonts w:ascii="Times New Roman" w:hAnsi="Times New Roman" w:eastAsia="Times New Roman"/>
          <w:b/>
          <w:sz w:val="28"/>
        </w:rPr>
        <w:t>Instrumental Forest нэмэлт шинжилгээ: үндсэн тайланд шууд paste хийх бэлэн хэсгүүд</w:t>
      </w:r>
    </w:p>
    <w:p>
      <w:pPr>
        <w:spacing w:line="360" w:lineRule="auto" w:before="120" w:after="120"/>
        <w:jc w:val="both"/>
        <w:shd w:fill="FFF2CC"/>
      </w:pPr>
      <w:r>
        <w:rPr>
          <w:rFonts w:ascii="Times New Roman" w:hAnsi="Times New Roman" w:eastAsia="Times New Roman"/>
          <w:b/>
          <w:i w:val="0"/>
          <w:color w:val="7A3E00"/>
          <w:sz w:val="20"/>
        </w:rPr>
        <w:t>Энэ файл нь standalone тайлан биш. Доорх БЛОК бүрийн цэнхэр 'COPY ЭХЛЭХ' шошгоны дараах агуулгыг үндсэн bagiin_ner_v29.docx-ийн заасан байрлалд шууд copy-paste хийхээр бэлтгэсэн. Шар зааврыг үндсэн тайланд бүү хуул.</w:t>
      </w:r>
    </w:p>
    <w:tbl>
      <w:tblPr>
        <w:tblStyle w:val="TableGrid"/>
        <w:tblW w:type="auto" w:w="0"/>
        <w:jc w:val="center"/>
        <w:tblLook w:firstColumn="1" w:firstRow="1" w:lastColumn="0" w:lastRow="0" w:noHBand="0" w:noVBand="1" w:val="04A0"/>
      </w:tblPr>
      <w:tblGrid>
        <w:gridCol w:w="3024"/>
        <w:gridCol w:w="3024"/>
        <w:gridCol w:w="3024"/>
      </w:tblGrid>
      <w:tr>
        <w:tc>
          <w:tcPr>
            <w:tcW w:type="dxa" w:w="737"/>
            <w:shd w:fill="D9EAF7"/>
            <w:vAlign w:val="center"/>
          </w:tcPr>
          <w:p>
            <w:pPr>
              <w:jc w:val="center"/>
            </w:pPr>
            <w:r>
              <w:rPr>
                <w:rFonts w:ascii="Times New Roman" w:hAnsi="Times New Roman" w:eastAsia="Times New Roman"/>
                <w:b/>
                <w:sz w:val="20"/>
              </w:rPr>
              <w:t>Блок</w:t>
            </w:r>
          </w:p>
        </w:tc>
        <w:tc>
          <w:tcPr>
            <w:tcW w:type="dxa" w:w="4082"/>
            <w:shd w:fill="D9EAF7"/>
            <w:vAlign w:val="center"/>
          </w:tcPr>
          <w:p>
            <w:pPr>
              <w:jc w:val="center"/>
            </w:pPr>
            <w:r>
              <w:rPr>
                <w:rFonts w:ascii="Times New Roman" w:hAnsi="Times New Roman" w:eastAsia="Times New Roman"/>
                <w:b/>
                <w:sz w:val="20"/>
              </w:rPr>
              <w:t>Үндсэн тайланд оруулах байрлал</w:t>
            </w:r>
          </w:p>
        </w:tc>
        <w:tc>
          <w:tcPr>
            <w:tcW w:type="dxa" w:w="3855"/>
            <w:shd w:fill="D9EAF7"/>
            <w:vAlign w:val="center"/>
          </w:tcPr>
          <w:p>
            <w:pPr>
              <w:jc w:val="center"/>
            </w:pPr>
            <w:r>
              <w:rPr>
                <w:rFonts w:ascii="Times New Roman" w:hAnsi="Times New Roman" w:eastAsia="Times New Roman"/>
                <w:b/>
                <w:sz w:val="20"/>
              </w:rPr>
              <w:t>Юу нэмэх вэ</w:t>
            </w:r>
          </w:p>
        </w:tc>
      </w:tr>
      <w:tr>
        <w:tc>
          <w:tcPr>
            <w:tcW w:type="dxa" w:w="737"/>
            <w:vAlign w:val="center"/>
          </w:tcPr>
          <w:p>
            <w:pPr>
              <w:jc w:val="left"/>
            </w:pPr>
            <w:r>
              <w:rPr>
                <w:rFonts w:ascii="Times New Roman" w:hAnsi="Times New Roman" w:eastAsia="Times New Roman"/>
                <w:sz w:val="20"/>
              </w:rPr>
              <w:t>A</w:t>
            </w:r>
          </w:p>
        </w:tc>
        <w:tc>
          <w:tcPr>
            <w:tcW w:type="dxa" w:w="4082"/>
            <w:vAlign w:val="center"/>
          </w:tcPr>
          <w:p>
            <w:pPr>
              <w:jc w:val="center"/>
            </w:pPr>
            <w:r>
              <w:rPr>
                <w:rFonts w:ascii="Times New Roman" w:hAnsi="Times New Roman" w:eastAsia="Times New Roman"/>
                <w:sz w:val="20"/>
              </w:rPr>
              <w:t>ХУРААНГУЙ хэсэгт, одоогийн 2-р догол мөрийн дараа</w:t>
            </w:r>
          </w:p>
        </w:tc>
        <w:tc>
          <w:tcPr>
            <w:tcW w:type="dxa" w:w="3855"/>
            <w:vAlign w:val="center"/>
          </w:tcPr>
          <w:p>
            <w:pPr>
              <w:jc w:val="center"/>
            </w:pPr>
            <w:r>
              <w:rPr>
                <w:rFonts w:ascii="Times New Roman" w:hAnsi="Times New Roman" w:eastAsia="Times New Roman"/>
                <w:sz w:val="20"/>
              </w:rPr>
              <w:t>Instrumental Forest-ийн 1 богино үр дүн</w:t>
            </w:r>
          </w:p>
        </w:tc>
      </w:tr>
      <w:tr>
        <w:tc>
          <w:tcPr>
            <w:tcW w:type="dxa" w:w="737"/>
            <w:vAlign w:val="center"/>
          </w:tcPr>
          <w:p>
            <w:pPr>
              <w:jc w:val="left"/>
            </w:pPr>
            <w:r>
              <w:rPr>
                <w:rFonts w:ascii="Times New Roman" w:hAnsi="Times New Roman" w:eastAsia="Times New Roman"/>
                <w:sz w:val="20"/>
              </w:rPr>
              <w:t>B</w:t>
            </w:r>
          </w:p>
        </w:tc>
        <w:tc>
          <w:tcPr>
            <w:tcW w:type="dxa" w:w="4082"/>
            <w:vAlign w:val="center"/>
          </w:tcPr>
          <w:p>
            <w:pPr>
              <w:jc w:val="center"/>
            </w:pPr>
            <w:r>
              <w:rPr>
                <w:rFonts w:ascii="Times New Roman" w:hAnsi="Times New Roman" w:eastAsia="Times New Roman"/>
                <w:sz w:val="20"/>
              </w:rPr>
              <w:t>ОРШИЛ -&gt; Судалгааны зорилго, зорилтууд / Судалгааны шинэлэг тал</w:t>
            </w:r>
          </w:p>
        </w:tc>
        <w:tc>
          <w:tcPr>
            <w:tcW w:type="dxa" w:w="3855"/>
            <w:vAlign w:val="center"/>
          </w:tcPr>
          <w:p>
            <w:pPr>
              <w:jc w:val="center"/>
            </w:pPr>
            <w:r>
              <w:rPr>
                <w:rFonts w:ascii="Times New Roman" w:hAnsi="Times New Roman" w:eastAsia="Times New Roman"/>
                <w:sz w:val="20"/>
              </w:rPr>
              <w:t>Зорилт ба шинэлэг талын нэмэлт өгүүлбэрүүд</w:t>
            </w:r>
          </w:p>
        </w:tc>
      </w:tr>
      <w:tr>
        <w:tc>
          <w:tcPr>
            <w:tcW w:type="dxa" w:w="737"/>
            <w:vAlign w:val="center"/>
          </w:tcPr>
          <w:p>
            <w:pPr>
              <w:jc w:val="left"/>
            </w:pPr>
            <w:r>
              <w:rPr>
                <w:rFonts w:ascii="Times New Roman" w:hAnsi="Times New Roman" w:eastAsia="Times New Roman"/>
                <w:sz w:val="20"/>
              </w:rPr>
              <w:t>C</w:t>
            </w:r>
          </w:p>
        </w:tc>
        <w:tc>
          <w:tcPr>
            <w:tcW w:type="dxa" w:w="4082"/>
            <w:vAlign w:val="center"/>
          </w:tcPr>
          <w:p>
            <w:pPr>
              <w:jc w:val="center"/>
            </w:pPr>
            <w:r>
              <w:rPr>
                <w:rFonts w:ascii="Times New Roman" w:hAnsi="Times New Roman" w:eastAsia="Times New Roman"/>
                <w:sz w:val="20"/>
              </w:rPr>
              <w:t>II БҮЛЭГ -&gt; 2.5-ийн дараа, III БҮЛЭГ эхлэхээс өмнө</w:t>
            </w:r>
          </w:p>
        </w:tc>
        <w:tc>
          <w:tcPr>
            <w:tcW w:type="dxa" w:w="3855"/>
            <w:vAlign w:val="center"/>
          </w:tcPr>
          <w:p>
            <w:pPr>
              <w:jc w:val="center"/>
            </w:pPr>
            <w:r>
              <w:rPr>
                <w:rFonts w:ascii="Times New Roman" w:hAnsi="Times New Roman" w:eastAsia="Times New Roman"/>
                <w:sz w:val="20"/>
              </w:rPr>
              <w:t>2.6 Instrumental Forest аргын арга зүй</w:t>
            </w:r>
          </w:p>
        </w:tc>
      </w:tr>
      <w:tr>
        <w:tc>
          <w:tcPr>
            <w:tcW w:type="dxa" w:w="737"/>
            <w:vAlign w:val="center"/>
          </w:tcPr>
          <w:p>
            <w:pPr>
              <w:jc w:val="left"/>
            </w:pPr>
            <w:r>
              <w:rPr>
                <w:rFonts w:ascii="Times New Roman" w:hAnsi="Times New Roman" w:eastAsia="Times New Roman"/>
                <w:sz w:val="20"/>
              </w:rPr>
              <w:t>D</w:t>
            </w:r>
          </w:p>
        </w:tc>
        <w:tc>
          <w:tcPr>
            <w:tcW w:type="dxa" w:w="4082"/>
            <w:vAlign w:val="center"/>
          </w:tcPr>
          <w:p>
            <w:pPr>
              <w:jc w:val="center"/>
            </w:pPr>
            <w:r>
              <w:rPr>
                <w:rFonts w:ascii="Times New Roman" w:hAnsi="Times New Roman" w:eastAsia="Times New Roman"/>
                <w:sz w:val="20"/>
              </w:rPr>
              <w:t>IV БҮЛЭГ -&gt; 4.6-ийн төгсгөлд, V БҮЛЭГ эхлэхээс өмнө</w:t>
            </w:r>
          </w:p>
        </w:tc>
        <w:tc>
          <w:tcPr>
            <w:tcW w:type="dxa" w:w="3855"/>
            <w:vAlign w:val="center"/>
          </w:tcPr>
          <w:p>
            <w:pPr>
              <w:jc w:val="center"/>
            </w:pPr>
            <w:r>
              <w:rPr>
                <w:rFonts w:ascii="Times New Roman" w:hAnsi="Times New Roman" w:eastAsia="Times New Roman"/>
                <w:sz w:val="20"/>
              </w:rPr>
              <w:t>4.7 үр дүн, 3 хүснэгт, 3 зураг</w:t>
            </w:r>
          </w:p>
        </w:tc>
      </w:tr>
      <w:tr>
        <w:tc>
          <w:tcPr>
            <w:tcW w:type="dxa" w:w="737"/>
            <w:vAlign w:val="center"/>
          </w:tcPr>
          <w:p>
            <w:pPr>
              <w:jc w:val="left"/>
            </w:pPr>
            <w:r>
              <w:rPr>
                <w:rFonts w:ascii="Times New Roman" w:hAnsi="Times New Roman" w:eastAsia="Times New Roman"/>
                <w:sz w:val="20"/>
              </w:rPr>
              <w:t>E</w:t>
            </w:r>
          </w:p>
        </w:tc>
        <w:tc>
          <w:tcPr>
            <w:tcW w:type="dxa" w:w="4082"/>
            <w:vAlign w:val="center"/>
          </w:tcPr>
          <w:p>
            <w:pPr>
              <w:jc w:val="center"/>
            </w:pPr>
            <w:r>
              <w:rPr>
                <w:rFonts w:ascii="Times New Roman" w:hAnsi="Times New Roman" w:eastAsia="Times New Roman"/>
                <w:sz w:val="20"/>
              </w:rPr>
              <w:t>V БҮЛЭГ -&gt; 5.1 болон 5.3 хэсэгт</w:t>
            </w:r>
          </w:p>
        </w:tc>
        <w:tc>
          <w:tcPr>
            <w:tcW w:type="dxa" w:w="3855"/>
            <w:vAlign w:val="center"/>
          </w:tcPr>
          <w:p>
            <w:pPr>
              <w:jc w:val="center"/>
            </w:pPr>
            <w:r>
              <w:rPr>
                <w:rFonts w:ascii="Times New Roman" w:hAnsi="Times New Roman" w:eastAsia="Times New Roman"/>
                <w:sz w:val="20"/>
              </w:rPr>
              <w:t>Дүгнэлт ба хязгаарлалтын нэмэлт догол</w:t>
            </w:r>
          </w:p>
        </w:tc>
      </w:tr>
      <w:tr>
        <w:tc>
          <w:tcPr>
            <w:tcW w:type="dxa" w:w="737"/>
            <w:vAlign w:val="center"/>
          </w:tcPr>
          <w:p>
            <w:pPr>
              <w:jc w:val="left"/>
            </w:pPr>
            <w:r>
              <w:rPr>
                <w:rFonts w:ascii="Times New Roman" w:hAnsi="Times New Roman" w:eastAsia="Times New Roman"/>
                <w:sz w:val="20"/>
              </w:rPr>
              <w:t>F</w:t>
            </w:r>
          </w:p>
        </w:tc>
        <w:tc>
          <w:tcPr>
            <w:tcW w:type="dxa" w:w="4082"/>
            <w:vAlign w:val="center"/>
          </w:tcPr>
          <w:p>
            <w:pPr>
              <w:jc w:val="center"/>
            </w:pPr>
            <w:r>
              <w:rPr>
                <w:rFonts w:ascii="Times New Roman" w:hAnsi="Times New Roman" w:eastAsia="Times New Roman"/>
                <w:sz w:val="20"/>
              </w:rPr>
              <w:t>НОМ ЗҮЙ хэсгийн төгсгөлд</w:t>
            </w:r>
          </w:p>
        </w:tc>
        <w:tc>
          <w:tcPr>
            <w:tcW w:type="dxa" w:w="3855"/>
            <w:vAlign w:val="center"/>
          </w:tcPr>
          <w:p>
            <w:pPr>
              <w:jc w:val="center"/>
            </w:pPr>
            <w:r>
              <w:rPr>
                <w:rFonts w:ascii="Times New Roman" w:hAnsi="Times New Roman" w:eastAsia="Times New Roman"/>
                <w:sz w:val="20"/>
              </w:rPr>
              <w:t>Нэмэх эх сурвалжууд</w:t>
            </w:r>
          </w:p>
        </w:tc>
      </w:tr>
      <w:tr>
        <w:tc>
          <w:tcPr>
            <w:tcW w:type="dxa" w:w="737"/>
            <w:vAlign w:val="center"/>
          </w:tcPr>
          <w:p>
            <w:pPr>
              <w:jc w:val="left"/>
            </w:pPr>
            <w:r>
              <w:rPr>
                <w:rFonts w:ascii="Times New Roman" w:hAnsi="Times New Roman" w:eastAsia="Times New Roman"/>
                <w:sz w:val="20"/>
              </w:rPr>
              <w:t>G</w:t>
            </w:r>
          </w:p>
        </w:tc>
        <w:tc>
          <w:tcPr>
            <w:tcW w:type="dxa" w:w="4082"/>
            <w:vAlign w:val="center"/>
          </w:tcPr>
          <w:p>
            <w:pPr>
              <w:jc w:val="center"/>
            </w:pPr>
            <w:r>
              <w:rPr>
                <w:rFonts w:ascii="Times New Roman" w:hAnsi="Times New Roman" w:eastAsia="Times New Roman"/>
                <w:sz w:val="20"/>
              </w:rPr>
              <w:t>ХАВСРАЛТ -&gt; Хавсралт В-ийн дараа</w:t>
            </w:r>
          </w:p>
        </w:tc>
        <w:tc>
          <w:tcPr>
            <w:tcW w:type="dxa" w:w="3855"/>
            <w:vAlign w:val="center"/>
          </w:tcPr>
          <w:p>
            <w:pPr>
              <w:jc w:val="center"/>
            </w:pPr>
            <w:r>
              <w:rPr>
                <w:rFonts w:ascii="Times New Roman" w:hAnsi="Times New Roman" w:eastAsia="Times New Roman"/>
                <w:sz w:val="20"/>
              </w:rPr>
              <w:t>Давтан ажиллуулах код ба output файлууд</w:t>
            </w:r>
          </w:p>
        </w:tc>
      </w:tr>
    </w:tbl>
    <w:p>
      <w:pPr>
        <w:spacing w:before="40" w:after="120"/>
        <w:jc w:val="left"/>
      </w:pPr>
      <w:r>
        <w:rPr>
          <w:rFonts w:ascii="Times New Roman" w:hAnsi="Times New Roman" w:eastAsia="Times New Roman"/>
          <w:i/>
          <w:sz w:val="18"/>
        </w:rPr>
        <w:t>Тайлбар: Байрлалын зааврыг үндсэн тайлангийн одоогийн бүтэц, хүснэгт/зургийн дугаарлалттай тааруулан бэлтгэв.</w:t>
      </w:r>
    </w:p>
    <w:p>
      <w:r>
        <w:br w:type="page"/>
      </w:r>
    </w:p>
    <w:p>
      <w:pPr>
        <w:spacing w:before="240" w:after="120"/>
        <w:jc w:val="left"/>
      </w:pPr>
      <w:r>
        <w:rPr>
          <w:rFonts w:ascii="Times New Roman" w:hAnsi="Times New Roman" w:eastAsia="Times New Roman"/>
          <w:b/>
          <w:sz w:val="28"/>
        </w:rPr>
        <w:t>БЛОК A. Хураангуйд нэмэх догол мөр</w:t>
      </w:r>
    </w:p>
    <w:p>
      <w:pPr>
        <w:spacing w:line="360" w:lineRule="auto" w:before="120" w:after="120"/>
        <w:jc w:val="both"/>
        <w:shd w:fill="FFF2CC"/>
      </w:pPr>
      <w:r>
        <w:rPr>
          <w:rFonts w:ascii="Times New Roman" w:hAnsi="Times New Roman" w:eastAsia="Times New Roman"/>
          <w:b/>
          <w:i w:val="0"/>
          <w:color w:val="7A3E00"/>
          <w:sz w:val="20"/>
        </w:rPr>
        <w:t>Оруулах байрлал: ХУРААНГУЙ хэсгийн одоогийн хоёр дахь догол мөрийн дараа, 'Түлхүүр үгс'-ийн өмнө paste хийнэ.</w:t>
      </w:r>
    </w:p>
    <w:p>
      <w:pPr>
        <w:spacing w:line="360" w:lineRule="auto" w:before="120" w:after="120"/>
        <w:jc w:val="both"/>
        <w:shd w:fill="D9EAF7"/>
      </w:pPr>
      <w:r>
        <w:rPr>
          <w:rFonts w:ascii="Times New Roman" w:hAnsi="Times New Roman" w:eastAsia="Times New Roman"/>
          <w:b/>
          <w:i w:val="0"/>
          <w:color w:val="1F4E79"/>
          <w:sz w:val="20"/>
        </w:rPr>
        <w:t>COPY ЭХЛЭХ</w:t>
      </w:r>
    </w:p>
    <w:p>
      <w:pPr>
        <w:spacing w:line="360" w:lineRule="auto" w:before="120" w:after="120"/>
        <w:ind w:firstLine="709"/>
        <w:jc w:val="both"/>
      </w:pPr>
      <w:r>
        <w:rPr>
          <w:rFonts w:ascii="Times New Roman" w:hAnsi="Times New Roman" w:eastAsia="Times New Roman"/>
          <w:b w:val="0"/>
          <w:i w:val="0"/>
        </w:rPr>
        <w:t>Нэмэлтээр боловсролын өгөөжийн ялгаатай байдлыг нэг урьдчилан сонгосон босгоор хязгаарлахгүйгээр шалгах зорилгоор 2,000 модтой Instrumental Forest шинжилгээ хийв. Уг шинжилгээгээр local IV өгөөж дунджаар 11.35 хувь, медианаар 10.58 хувь, 10-90 хувийн мужид 6.92-16.84 хувь байна. Энэ нь ХШХБК-ийн дундаж өгөөжтэй ойролцоо боловч боловсролын өгөөж хувь хүний шинж, сургуулийн хүртээмж болон сурагч-багшийн харьцаатай хавсарсан олон хэмжээст ялгаатай байдлаар илэрч болохыг харуулж байна.</w:t>
      </w:r>
    </w:p>
    <w:p>
      <w:pPr>
        <w:spacing w:line="360" w:lineRule="auto" w:before="120" w:after="120"/>
        <w:jc w:val="both"/>
        <w:shd w:fill="D9EAF7"/>
      </w:pPr>
      <w:r>
        <w:rPr>
          <w:rFonts w:ascii="Times New Roman" w:hAnsi="Times New Roman" w:eastAsia="Times New Roman"/>
          <w:b/>
          <w:i w:val="0"/>
          <w:color w:val="1F4E79"/>
          <w:sz w:val="20"/>
        </w:rPr>
        <w:t>COPY ДУУСАХ</w:t>
      </w:r>
    </w:p>
    <w:p>
      <w:r>
        <w:br w:type="page"/>
      </w:r>
    </w:p>
    <w:p>
      <w:pPr>
        <w:spacing w:before="240" w:after="120"/>
        <w:jc w:val="left"/>
      </w:pPr>
      <w:r>
        <w:rPr>
          <w:rFonts w:ascii="Times New Roman" w:hAnsi="Times New Roman" w:eastAsia="Times New Roman"/>
          <w:b/>
          <w:sz w:val="28"/>
        </w:rPr>
        <w:t>БЛОК B. Оршилд нэмэх өгүүлбэрүүд</w:t>
      </w:r>
    </w:p>
    <w:p>
      <w:pPr>
        <w:spacing w:line="360" w:lineRule="auto" w:before="120" w:after="120"/>
        <w:jc w:val="both"/>
        <w:shd w:fill="FFF2CC"/>
      </w:pPr>
      <w:r>
        <w:rPr>
          <w:rFonts w:ascii="Times New Roman" w:hAnsi="Times New Roman" w:eastAsia="Times New Roman"/>
          <w:b/>
          <w:i w:val="0"/>
          <w:color w:val="7A3E00"/>
          <w:sz w:val="20"/>
        </w:rPr>
        <w:t>B1 байрлал: ОРШИЛ -&gt; 'Судалгааны зорилго, зорилтууд' хэсэгт, одоогийн 'Дөрөвдүгээрт...' өгүүлбэрийн дараа нэмнэ.</w:t>
      </w:r>
    </w:p>
    <w:p>
      <w:pPr>
        <w:spacing w:line="360" w:lineRule="auto" w:before="120" w:after="120"/>
        <w:jc w:val="both"/>
        <w:shd w:fill="D9EAF7"/>
      </w:pPr>
      <w:r>
        <w:rPr>
          <w:rFonts w:ascii="Times New Roman" w:hAnsi="Times New Roman" w:eastAsia="Times New Roman"/>
          <w:b/>
          <w:i w:val="0"/>
          <w:color w:val="1F4E79"/>
          <w:sz w:val="20"/>
        </w:rPr>
        <w:t>B1 COPY ЭХЛЭХ</w:t>
      </w:r>
    </w:p>
    <w:p>
      <w:pPr>
        <w:spacing w:line="360" w:lineRule="auto" w:before="120" w:after="120"/>
        <w:ind w:firstLine="709"/>
        <w:jc w:val="both"/>
      </w:pPr>
      <w:r>
        <w:rPr>
          <w:rFonts w:ascii="Times New Roman" w:hAnsi="Times New Roman" w:eastAsia="Times New Roman"/>
          <w:b w:val="0"/>
          <w:i w:val="0"/>
        </w:rPr>
        <w:t>Тавдугаарт, боловсролын өгөөжийн ялгаатай байдал нэг босгоны сонголтоос давж, хувь хүний болон сургуулийн орчны олон шинжтэй хамт илэрч байгаа эсэхийг Instrumental Forest аргаар нэмэлтээр зураглана.</w:t>
      </w:r>
    </w:p>
    <w:p>
      <w:pPr>
        <w:spacing w:line="360" w:lineRule="auto" w:before="120" w:after="120"/>
        <w:jc w:val="both"/>
        <w:shd w:fill="D9EAF7"/>
      </w:pPr>
      <w:r>
        <w:rPr>
          <w:rFonts w:ascii="Times New Roman" w:hAnsi="Times New Roman" w:eastAsia="Times New Roman"/>
          <w:b/>
          <w:i w:val="0"/>
          <w:color w:val="1F4E79"/>
          <w:sz w:val="20"/>
        </w:rPr>
        <w:t>B1 COPY ДУУСАХ</w:t>
      </w:r>
    </w:p>
    <w:p>
      <w:pPr>
        <w:spacing w:line="360" w:lineRule="auto" w:before="120" w:after="120"/>
        <w:jc w:val="both"/>
        <w:shd w:fill="FFF2CC"/>
      </w:pPr>
      <w:r>
        <w:rPr>
          <w:rFonts w:ascii="Times New Roman" w:hAnsi="Times New Roman" w:eastAsia="Times New Roman"/>
          <w:b/>
          <w:i w:val="0"/>
          <w:color w:val="7A3E00"/>
          <w:sz w:val="20"/>
        </w:rPr>
        <w:t>B2 байрлал: ОРШИЛ -&gt; 'Судалгааны шинэлэг тал' хэсгийн одоогийн догол мөрийн төгсгөлд нэмнэ.</w:t>
      </w:r>
    </w:p>
    <w:p>
      <w:pPr>
        <w:spacing w:line="360" w:lineRule="auto" w:before="120" w:after="120"/>
        <w:jc w:val="both"/>
        <w:shd w:fill="D9EAF7"/>
      </w:pPr>
      <w:r>
        <w:rPr>
          <w:rFonts w:ascii="Times New Roman" w:hAnsi="Times New Roman" w:eastAsia="Times New Roman"/>
          <w:b/>
          <w:i w:val="0"/>
          <w:color w:val="1F4E79"/>
          <w:sz w:val="20"/>
        </w:rPr>
        <w:t>B2 COPY ЭХЛЭХ</w:t>
      </w:r>
    </w:p>
    <w:p>
      <w:pPr>
        <w:spacing w:line="360" w:lineRule="auto" w:before="120" w:after="120"/>
        <w:ind w:firstLine="709"/>
        <w:jc w:val="both"/>
      </w:pPr>
      <w:r>
        <w:rPr>
          <w:rFonts w:ascii="Times New Roman" w:hAnsi="Times New Roman" w:eastAsia="Times New Roman"/>
          <w:b w:val="0"/>
          <w:i w:val="0"/>
        </w:rPr>
        <w:t>Дөрөвдүгээрт, үндсэн босготой регрессийн үр дүнг машин сургалтын Instrumental Forest аргаар нэмэлтээр шалгаж, боловсролын өгөөжийн ялгаатай байдал зөвхөн нэг босгоны огтлол бус, хувь хүний шинж, сургуулийн хүртээмж, сурагч-багшийн харьцаа, төрсөн үе болон судалгааны давалгаатай хамт илэрч байгаа эсэхийг өгөгдөлд суурилсан байдлаар дүрсэлж байгаа нь судалгааны эрэл хайгуулын шинжийг нэмэгдүүлж байна.</w:t>
      </w:r>
    </w:p>
    <w:p>
      <w:pPr>
        <w:spacing w:line="360" w:lineRule="auto" w:before="120" w:after="120"/>
        <w:jc w:val="both"/>
        <w:shd w:fill="D9EAF7"/>
      </w:pPr>
      <w:r>
        <w:rPr>
          <w:rFonts w:ascii="Times New Roman" w:hAnsi="Times New Roman" w:eastAsia="Times New Roman"/>
          <w:b/>
          <w:i w:val="0"/>
          <w:color w:val="1F4E79"/>
          <w:sz w:val="20"/>
        </w:rPr>
        <w:t>B2 COPY ДУУСАХ</w:t>
      </w:r>
    </w:p>
    <w:p>
      <w:pPr>
        <w:spacing w:line="360" w:lineRule="auto" w:before="120" w:after="120"/>
        <w:jc w:val="both"/>
        <w:shd w:fill="FFF2CC"/>
      </w:pPr>
      <w:r>
        <w:rPr>
          <w:rFonts w:ascii="Times New Roman" w:hAnsi="Times New Roman" w:eastAsia="Times New Roman"/>
          <w:b/>
          <w:i w:val="0"/>
          <w:color w:val="7A3E00"/>
          <w:sz w:val="20"/>
        </w:rPr>
        <w:t>B3 байрлал: ОРШИЛ -&gt; 'Ажлын бүтэц' хэсгийн одоогийн догол мөрийн 'Дөрөвдүгээр бүлэгт...' өгүүлбэрийг солих эсвэл дараах өгүүлбэрээр баяжуулна.</w:t>
      </w:r>
    </w:p>
    <w:p>
      <w:pPr>
        <w:spacing w:line="360" w:lineRule="auto" w:before="120" w:after="120"/>
        <w:jc w:val="both"/>
        <w:shd w:fill="D9EAF7"/>
      </w:pPr>
      <w:r>
        <w:rPr>
          <w:rFonts w:ascii="Times New Roman" w:hAnsi="Times New Roman" w:eastAsia="Times New Roman"/>
          <w:b/>
          <w:i w:val="0"/>
          <w:color w:val="1F4E79"/>
          <w:sz w:val="20"/>
        </w:rPr>
        <w:t>B3 COPY ЭХЛЭХ</w:t>
      </w:r>
    </w:p>
    <w:p>
      <w:pPr>
        <w:spacing w:line="360" w:lineRule="auto" w:before="120" w:after="120"/>
        <w:ind w:firstLine="709"/>
        <w:jc w:val="both"/>
      </w:pPr>
      <w:r>
        <w:rPr>
          <w:rFonts w:ascii="Times New Roman" w:hAnsi="Times New Roman" w:eastAsia="Times New Roman"/>
          <w:b w:val="0"/>
          <w:i w:val="0"/>
        </w:rPr>
        <w:t>Дөрөвдүгээр бүлэгт ЭХБК, ХШХБК, ХХБР үнэлгээ, бүүтстрап шалгалт болон Instrumental Forest-ийн нэмэлт эрэл хайгуулын үр дүнг нэгтгэн шинжилнэ.</w:t>
      </w:r>
    </w:p>
    <w:p>
      <w:pPr>
        <w:spacing w:line="360" w:lineRule="auto" w:before="120" w:after="120"/>
        <w:jc w:val="both"/>
        <w:shd w:fill="D9EAF7"/>
      </w:pPr>
      <w:r>
        <w:rPr>
          <w:rFonts w:ascii="Times New Roman" w:hAnsi="Times New Roman" w:eastAsia="Times New Roman"/>
          <w:b/>
          <w:i w:val="0"/>
          <w:color w:val="1F4E79"/>
          <w:sz w:val="20"/>
        </w:rPr>
        <w:t>B3 COPY ДУУСАХ</w:t>
      </w:r>
    </w:p>
    <w:p>
      <w:r>
        <w:br w:type="page"/>
      </w:r>
    </w:p>
    <w:p>
      <w:pPr>
        <w:spacing w:before="240" w:after="120"/>
        <w:jc w:val="left"/>
      </w:pPr>
      <w:r>
        <w:rPr>
          <w:rFonts w:ascii="Times New Roman" w:hAnsi="Times New Roman" w:eastAsia="Times New Roman"/>
          <w:b/>
          <w:sz w:val="28"/>
        </w:rPr>
        <w:t>БЛОК C. II бүлэгт нэмэх арга зүйн дэд хэсэг</w:t>
      </w:r>
    </w:p>
    <w:p>
      <w:pPr>
        <w:spacing w:line="360" w:lineRule="auto" w:before="120" w:after="120"/>
        <w:jc w:val="both"/>
        <w:shd w:fill="FFF2CC"/>
      </w:pPr>
      <w:r>
        <w:rPr>
          <w:rFonts w:ascii="Times New Roman" w:hAnsi="Times New Roman" w:eastAsia="Times New Roman"/>
          <w:b/>
          <w:i w:val="0"/>
          <w:color w:val="7A3E00"/>
          <w:sz w:val="20"/>
        </w:rPr>
        <w:t>Оруулах байрлал: II БҮЛЭГ-ийн 2.5 'Үр дүнгийн бат бөх байдлын шинжилгээний бүтэц' хэсгийн дараа, III БҮЛЭГ эхлэхийн өмнө paste хийнэ. Гарчгийн дугаарлалт үндсэн тайланд 2.6 болно.</w:t>
      </w:r>
    </w:p>
    <w:p>
      <w:pPr>
        <w:spacing w:line="360" w:lineRule="auto" w:before="120" w:after="120"/>
        <w:jc w:val="both"/>
        <w:shd w:fill="D9EAF7"/>
      </w:pPr>
      <w:r>
        <w:rPr>
          <w:rFonts w:ascii="Times New Roman" w:hAnsi="Times New Roman" w:eastAsia="Times New Roman"/>
          <w:b/>
          <w:i w:val="0"/>
          <w:color w:val="1F4E79"/>
          <w:sz w:val="20"/>
        </w:rPr>
        <w:t>COPY ЭХЛЭХ</w:t>
      </w:r>
    </w:p>
    <w:p>
      <w:pPr>
        <w:spacing w:before="240" w:after="120"/>
        <w:jc w:val="left"/>
      </w:pPr>
      <w:r>
        <w:rPr>
          <w:rFonts w:ascii="Times New Roman" w:hAnsi="Times New Roman" w:eastAsia="Times New Roman"/>
          <w:b/>
          <w:sz w:val="24"/>
        </w:rPr>
        <w:t>2.6. Instrumental Forest нэмэлт эрэл хайгуулын арга</w:t>
      </w:r>
    </w:p>
    <w:p>
      <w:pPr>
        <w:spacing w:line="360" w:lineRule="auto" w:before="120" w:after="120"/>
        <w:ind w:firstLine="709"/>
        <w:jc w:val="both"/>
      </w:pPr>
      <w:r>
        <w:rPr>
          <w:rFonts w:ascii="Times New Roman" w:hAnsi="Times New Roman" w:eastAsia="Times New Roman"/>
          <w:b w:val="0"/>
          <w:i w:val="0"/>
        </w:rPr>
        <w:t>Үндсэн ХХБР загвар боловсролын өгөөж 17-18 насны сурагч-багшийн харьцааны тодорхой босгоор ялгаатай эсэхийг шалгадаг. Гэвч боловсролын өгөөжийн ялгаатай байдал зөвхөн нэг босгоны огтлолоор бүрэн тайлбарлагдахгүй байж болох тул нэмэлтээр Instrumental Forest буюу хэрэгсэл хувьсагчтай ой загварыг ашиглав. Энэ арга нь хэрэгсэл хувьсагчийн логикийг machine learning-ийн модон хуваалтын аргатай хослуулж, ажиглагдсан шинжүүдийн нөхцөлд боловсролын local IV өгөөж хэрхэн ялгаатай байгааг зураглах боломж олгодог.</w:t>
      </w:r>
    </w:p>
    <w:p>
      <w:pPr>
        <w:spacing w:line="360" w:lineRule="auto" w:before="120" w:after="120"/>
        <w:ind w:firstLine="709"/>
        <w:jc w:val="both"/>
      </w:pPr>
      <w:r>
        <w:rPr>
          <w:rFonts w:ascii="Times New Roman" w:hAnsi="Times New Roman" w:eastAsia="Times New Roman"/>
          <w:b w:val="0"/>
          <w:i w:val="0"/>
        </w:rPr>
        <w:t>Instrumental Forest шинжилгээнд хамааруулах хувьсагч нь логаритмчилсан цалин, эндоген тайлбарлагч нь боловсролын жил, хэрэгсэл хувьсагч нь эцэг, эхийн боловсролын дундаж хэвээр байна. Харин heterogeneity-г ялгах шинжүүдэд нас, насны квадрат, хүйс, гэрлэлтийн байдал, хотын суурьшил, 17-18 насны сурагч-багшийн дундаж харьцаа, сургуулийн хүртээмж, төрсөн аймаг, төрсөн үеийн бүлэг болон судалгааны давалгааг оруулсан. Эцэг, эхийн боловсролын дундаж нь хэрэгсэл хувьсагчийн үүрэгтэй тул X шинжийн багцад давхар оруулаагүй.</w:t>
      </w:r>
    </w:p>
    <w:p>
      <w:pPr>
        <w:spacing w:line="360" w:lineRule="auto" w:before="120" w:after="120"/>
        <w:ind w:firstLine="709"/>
        <w:jc w:val="both"/>
      </w:pPr>
      <w:r>
        <w:rPr>
          <w:rFonts w:ascii="Times New Roman" w:hAnsi="Times New Roman" w:eastAsia="Times New Roman"/>
          <w:b w:val="0"/>
          <w:i w:val="0"/>
        </w:rPr>
        <w:t>Энэхүү нэмэлт шинжилгээг үндсэн шалтгаант нотолгоо гэж бус, эрэл хайгуулын heterogeneity map гэж тайлбарлана. Өөрөөр хэлбэл, Instrumental Forest-ийн гаргасан өгөөж нь тухайн хүний яг хувийн шалтгаант нөлөө бус, ижил төстэй шинж бүхий бүлгийн нөхцөлт IV өгөөжийн таамаглал юм. Иймээс уг арга нь ХХБР загварыг орлохгүй, харин боловсролын өгөөжийн ялгаа сургуулийн орчин болон хувь хүний шинжүүдтэй хэрхэн хавсарч байгааг нэмэлтээр шалгах үүрэгтэй.</w:t>
      </w:r>
    </w:p>
    <w:p>
      <w:pPr>
        <w:spacing w:line="360" w:lineRule="auto" w:before="120" w:after="120"/>
        <w:ind w:firstLine="709"/>
        <w:jc w:val="both"/>
      </w:pPr>
      <w:r>
        <w:rPr>
          <w:rFonts w:ascii="Times New Roman" w:hAnsi="Times New Roman" w:eastAsia="Times New Roman"/>
          <w:b w:val="0"/>
          <w:i w:val="0"/>
        </w:rPr>
        <w:t>Загварыг R орчны grf багцын instrumental_forest функцээр 2,000 модтойгоор үнэлэв. Үр дүнгийн тайлбар нь гурван хэсгээс бүрдэнэ: local IV өгөөжийн тархалт, сурагч-багшийн харьцаатай холбогдох дүр зураг, өгөөжийн ялгааг тайлбарлах хувьсагчдын ач холбогдлын нэгтгэл.</w:t>
      </w:r>
    </w:p>
    <w:p>
      <w:pPr>
        <w:spacing w:line="360" w:lineRule="auto" w:before="120" w:after="120"/>
        <w:jc w:val="both"/>
        <w:shd w:fill="D9EAF7"/>
      </w:pPr>
      <w:r>
        <w:rPr>
          <w:rFonts w:ascii="Times New Roman" w:hAnsi="Times New Roman" w:eastAsia="Times New Roman"/>
          <w:b/>
          <w:i w:val="0"/>
          <w:color w:val="1F4E79"/>
          <w:sz w:val="20"/>
        </w:rPr>
        <w:t>COPY ДУУСАХ</w:t>
      </w:r>
    </w:p>
    <w:p>
      <w:r>
        <w:br w:type="page"/>
      </w:r>
    </w:p>
    <w:p>
      <w:pPr>
        <w:spacing w:before="240" w:after="120"/>
        <w:jc w:val="left"/>
      </w:pPr>
      <w:r>
        <w:rPr>
          <w:rFonts w:ascii="Times New Roman" w:hAnsi="Times New Roman" w:eastAsia="Times New Roman"/>
          <w:b/>
          <w:sz w:val="28"/>
        </w:rPr>
        <w:t>БЛОК D. IV бүлэгт нэмэх үр дүнгийн хэсэг</w:t>
      </w:r>
    </w:p>
    <w:p>
      <w:pPr>
        <w:spacing w:line="360" w:lineRule="auto" w:before="120" w:after="120"/>
        <w:jc w:val="both"/>
        <w:shd w:fill="FFF2CC"/>
      </w:pPr>
      <w:r>
        <w:rPr>
          <w:rFonts w:ascii="Times New Roman" w:hAnsi="Times New Roman" w:eastAsia="Times New Roman"/>
          <w:b/>
          <w:i w:val="0"/>
          <w:color w:val="7A3E00"/>
          <w:sz w:val="20"/>
        </w:rPr>
        <w:t>Оруулах байрлал: IV БҮЛЭГ-ийн 4.6 'Эконометрик үр дүнгийн нэгдсэн дүгнэлт' хэсгийн төгсгөлд, V БҮЛЭГ эхлэхээс өмнө paste хийнэ. Одоогийн тайланд хүснэгт 8, зураг 5 хүртэл байгаа тул доорх дугаарлалтыг шууд үргэлжлүүлсэн.</w:t>
      </w:r>
    </w:p>
    <w:p>
      <w:pPr>
        <w:spacing w:line="360" w:lineRule="auto" w:before="120" w:after="120"/>
        <w:jc w:val="both"/>
        <w:shd w:fill="D9EAF7"/>
      </w:pPr>
      <w:r>
        <w:rPr>
          <w:rFonts w:ascii="Times New Roman" w:hAnsi="Times New Roman" w:eastAsia="Times New Roman"/>
          <w:b/>
          <w:i w:val="0"/>
          <w:color w:val="1F4E79"/>
          <w:sz w:val="20"/>
        </w:rPr>
        <w:t>COPY ЭХЛЭХ</w:t>
      </w:r>
    </w:p>
    <w:p>
      <w:pPr>
        <w:spacing w:before="240" w:after="120"/>
        <w:jc w:val="left"/>
      </w:pPr>
      <w:r>
        <w:rPr>
          <w:rFonts w:ascii="Times New Roman" w:hAnsi="Times New Roman" w:eastAsia="Times New Roman"/>
          <w:b/>
          <w:sz w:val="24"/>
        </w:rPr>
        <w:t>4.7. Instrumental Forest нэмэлт эрэл хайгуулын шинжилгээ</w:t>
      </w:r>
    </w:p>
    <w:p>
      <w:pPr>
        <w:spacing w:line="360" w:lineRule="auto" w:before="120" w:after="120"/>
        <w:ind w:firstLine="709"/>
        <w:jc w:val="both"/>
      </w:pPr>
      <w:r>
        <w:rPr>
          <w:rFonts w:ascii="Times New Roman" w:hAnsi="Times New Roman" w:eastAsia="Times New Roman"/>
          <w:b w:val="0"/>
          <w:i w:val="0"/>
        </w:rPr>
        <w:t>Үндсэн ХХБР үнэлгээ боловсролын өгөөжийг 17-18 насны сурагч-багшийн дундаж харьцааны босгоор хоёр регимд хуваан харуулсан. Харин боловсролын өгөөжийн ялгаа зөвхөн нэг босгоор бус, хувь хүний нас, хүйс, гэрлэлтийн байдал, хотжилт, сургуулийн хүртээмж, төрсөн үе, судалгааны давалгаа зэрэг олон шинжтэй хамт илэрч болох тул Instrumental Forest аргаар нэмэлт эрэл хайгуулын шинжилгээ хийв. Энэ шинжилгээ үндсэн ХХБР үр дүнг орлохгүй, харин боловсролын өгөөжийн ялгаа өгөгдөл дотор хэрхэн тархаж байгааг дүрслэх зорилготой.</w:t>
      </w:r>
    </w:p>
    <w:p>
      <w:pPr>
        <w:spacing w:before="120" w:after="40"/>
        <w:jc w:val="left"/>
      </w:pPr>
      <w:r>
        <w:rPr>
          <w:rFonts w:ascii="Times New Roman" w:hAnsi="Times New Roman" w:eastAsia="Times New Roman"/>
          <w:b/>
          <w:i/>
          <w:sz w:val="20"/>
        </w:rPr>
        <w:t>Хүснэгт 9. Instrumental Forest local IV өгөөжийн үндсэн статистик</w:t>
      </w:r>
    </w:p>
    <w:tbl>
      <w:tblPr>
        <w:tblStyle w:val="TableGrid"/>
        <w:tblW w:type="auto" w:w="0"/>
        <w:jc w:val="center"/>
        <w:tblLook w:firstColumn="1" w:firstRow="1" w:lastColumn="0" w:lastRow="0" w:noHBand="0" w:noVBand="1" w:val="04A0"/>
      </w:tblPr>
      <w:tblGrid>
        <w:gridCol w:w="3024"/>
        <w:gridCol w:w="3024"/>
        <w:gridCol w:w="3024"/>
      </w:tblGrid>
      <w:tr>
        <w:tc>
          <w:tcPr>
            <w:tcW w:type="dxa" w:w="2608"/>
            <w:shd w:fill="D9EAF7"/>
            <w:vAlign w:val="center"/>
          </w:tcPr>
          <w:p>
            <w:pPr>
              <w:jc w:val="center"/>
            </w:pPr>
            <w:r>
              <w:rPr>
                <w:rFonts w:ascii="Times New Roman" w:hAnsi="Times New Roman" w:eastAsia="Times New Roman"/>
                <w:b/>
                <w:sz w:val="20"/>
              </w:rPr>
              <w:t>Үзүүлэлт</w:t>
            </w:r>
          </w:p>
        </w:tc>
        <w:tc>
          <w:tcPr>
            <w:tcW w:type="dxa" w:w="1814"/>
            <w:shd w:fill="D9EAF7"/>
            <w:vAlign w:val="center"/>
          </w:tcPr>
          <w:p>
            <w:pPr>
              <w:jc w:val="center"/>
            </w:pPr>
            <w:r>
              <w:rPr>
                <w:rFonts w:ascii="Times New Roman" w:hAnsi="Times New Roman" w:eastAsia="Times New Roman"/>
                <w:b/>
                <w:sz w:val="20"/>
              </w:rPr>
              <w:t>Утга</w:t>
            </w:r>
          </w:p>
        </w:tc>
        <w:tc>
          <w:tcPr>
            <w:tcW w:type="dxa" w:w="3969"/>
            <w:shd w:fill="D9EAF7"/>
            <w:vAlign w:val="center"/>
          </w:tcPr>
          <w:p>
            <w:pPr>
              <w:jc w:val="center"/>
            </w:pPr>
            <w:r>
              <w:rPr>
                <w:rFonts w:ascii="Times New Roman" w:hAnsi="Times New Roman" w:eastAsia="Times New Roman"/>
                <w:b/>
                <w:sz w:val="20"/>
              </w:rPr>
              <w:t>Тайлбар</w:t>
            </w:r>
          </w:p>
        </w:tc>
      </w:tr>
      <w:tr>
        <w:tc>
          <w:tcPr>
            <w:tcW w:type="dxa" w:w="2608"/>
            <w:vAlign w:val="center"/>
          </w:tcPr>
          <w:p>
            <w:pPr>
              <w:jc w:val="left"/>
            </w:pPr>
            <w:r>
              <w:rPr>
                <w:rFonts w:ascii="Times New Roman" w:hAnsi="Times New Roman" w:eastAsia="Times New Roman"/>
                <w:sz w:val="20"/>
              </w:rPr>
              <w:t>Ажиглалтын тоо</w:t>
            </w:r>
          </w:p>
        </w:tc>
        <w:tc>
          <w:tcPr>
            <w:tcW w:type="dxa" w:w="1814"/>
            <w:vAlign w:val="center"/>
          </w:tcPr>
          <w:p>
            <w:pPr>
              <w:jc w:val="center"/>
            </w:pPr>
            <w:r>
              <w:rPr>
                <w:rFonts w:ascii="Times New Roman" w:hAnsi="Times New Roman" w:eastAsia="Times New Roman"/>
                <w:sz w:val="20"/>
              </w:rPr>
              <w:t>3,188</w:t>
            </w:r>
          </w:p>
        </w:tc>
        <w:tc>
          <w:tcPr>
            <w:tcW w:type="dxa" w:w="3969"/>
            <w:vAlign w:val="center"/>
          </w:tcPr>
          <w:p>
            <w:pPr>
              <w:jc w:val="center"/>
            </w:pPr>
            <w:r>
              <w:rPr>
                <w:rFonts w:ascii="Times New Roman" w:hAnsi="Times New Roman" w:eastAsia="Times New Roman"/>
                <w:sz w:val="20"/>
              </w:rPr>
              <w:t>ХХБР эцсийн түүвэртэй ижил</w:t>
            </w:r>
          </w:p>
        </w:tc>
      </w:tr>
      <w:tr>
        <w:tc>
          <w:tcPr>
            <w:tcW w:type="dxa" w:w="2608"/>
            <w:vAlign w:val="center"/>
          </w:tcPr>
          <w:p>
            <w:pPr>
              <w:jc w:val="left"/>
            </w:pPr>
            <w:r>
              <w:rPr>
                <w:rFonts w:ascii="Times New Roman" w:hAnsi="Times New Roman" w:eastAsia="Times New Roman"/>
                <w:sz w:val="20"/>
              </w:rPr>
              <w:t>Модны тоо</w:t>
            </w:r>
          </w:p>
        </w:tc>
        <w:tc>
          <w:tcPr>
            <w:tcW w:type="dxa" w:w="1814"/>
            <w:vAlign w:val="center"/>
          </w:tcPr>
          <w:p>
            <w:pPr>
              <w:jc w:val="center"/>
            </w:pPr>
            <w:r>
              <w:rPr>
                <w:rFonts w:ascii="Times New Roman" w:hAnsi="Times New Roman" w:eastAsia="Times New Roman"/>
                <w:sz w:val="20"/>
              </w:rPr>
              <w:t>2,000</w:t>
            </w:r>
          </w:p>
        </w:tc>
        <w:tc>
          <w:tcPr>
            <w:tcW w:type="dxa" w:w="3969"/>
            <w:vAlign w:val="center"/>
          </w:tcPr>
          <w:p>
            <w:pPr>
              <w:jc w:val="center"/>
            </w:pPr>
            <w:r>
              <w:rPr>
                <w:rFonts w:ascii="Times New Roman" w:hAnsi="Times New Roman" w:eastAsia="Times New Roman"/>
                <w:sz w:val="20"/>
              </w:rPr>
              <w:t>grf::instrumental_forest</w:t>
            </w:r>
          </w:p>
        </w:tc>
      </w:tr>
      <w:tr>
        <w:tc>
          <w:tcPr>
            <w:tcW w:type="dxa" w:w="2608"/>
            <w:vAlign w:val="center"/>
          </w:tcPr>
          <w:p>
            <w:pPr>
              <w:jc w:val="left"/>
            </w:pPr>
            <w:r>
              <w:rPr>
                <w:rFonts w:ascii="Times New Roman" w:hAnsi="Times New Roman" w:eastAsia="Times New Roman"/>
                <w:sz w:val="20"/>
              </w:rPr>
              <w:t>X шинжийн тоо</w:t>
            </w:r>
          </w:p>
        </w:tc>
        <w:tc>
          <w:tcPr>
            <w:tcW w:type="dxa" w:w="1814"/>
            <w:vAlign w:val="center"/>
          </w:tcPr>
          <w:p>
            <w:pPr>
              <w:jc w:val="center"/>
            </w:pPr>
            <w:r>
              <w:rPr>
                <w:rFonts w:ascii="Times New Roman" w:hAnsi="Times New Roman" w:eastAsia="Times New Roman"/>
                <w:sz w:val="20"/>
              </w:rPr>
              <w:t>48</w:t>
            </w:r>
          </w:p>
        </w:tc>
        <w:tc>
          <w:tcPr>
            <w:tcW w:type="dxa" w:w="3969"/>
            <w:vAlign w:val="center"/>
          </w:tcPr>
          <w:p>
            <w:pPr>
              <w:jc w:val="center"/>
            </w:pPr>
            <w:r>
              <w:rPr>
                <w:rFonts w:ascii="Times New Roman" w:hAnsi="Times New Roman" w:eastAsia="Times New Roman"/>
                <w:sz w:val="20"/>
              </w:rPr>
              <w:t>Хувь хүн, сургууль, үе, давалгааны шинжүүд</w:t>
            </w:r>
          </w:p>
        </w:tc>
      </w:tr>
      <w:tr>
        <w:tc>
          <w:tcPr>
            <w:tcW w:type="dxa" w:w="2608"/>
            <w:vAlign w:val="center"/>
          </w:tcPr>
          <w:p>
            <w:pPr>
              <w:jc w:val="left"/>
            </w:pPr>
            <w:r>
              <w:rPr>
                <w:rFonts w:ascii="Times New Roman" w:hAnsi="Times New Roman" w:eastAsia="Times New Roman"/>
                <w:sz w:val="20"/>
              </w:rPr>
              <w:t>Дундаж local IV өгөөж</w:t>
            </w:r>
          </w:p>
        </w:tc>
        <w:tc>
          <w:tcPr>
            <w:tcW w:type="dxa" w:w="1814"/>
            <w:vAlign w:val="center"/>
          </w:tcPr>
          <w:p>
            <w:pPr>
              <w:jc w:val="center"/>
            </w:pPr>
            <w:r>
              <w:rPr>
                <w:rFonts w:ascii="Times New Roman" w:hAnsi="Times New Roman" w:eastAsia="Times New Roman"/>
                <w:sz w:val="20"/>
              </w:rPr>
              <w:t>11.35%</w:t>
            </w:r>
          </w:p>
        </w:tc>
        <w:tc>
          <w:tcPr>
            <w:tcW w:type="dxa" w:w="3969"/>
            <w:vAlign w:val="center"/>
          </w:tcPr>
          <w:p>
            <w:pPr>
              <w:jc w:val="center"/>
            </w:pPr>
            <w:r>
              <w:rPr>
                <w:rFonts w:ascii="Times New Roman" w:hAnsi="Times New Roman" w:eastAsia="Times New Roman"/>
                <w:sz w:val="20"/>
              </w:rPr>
              <w:t>Forest-ийн дундаж таамаглал</w:t>
            </w:r>
          </w:p>
        </w:tc>
      </w:tr>
      <w:tr>
        <w:tc>
          <w:tcPr>
            <w:tcW w:type="dxa" w:w="2608"/>
            <w:vAlign w:val="center"/>
          </w:tcPr>
          <w:p>
            <w:pPr>
              <w:jc w:val="left"/>
            </w:pPr>
            <w:r>
              <w:rPr>
                <w:rFonts w:ascii="Times New Roman" w:hAnsi="Times New Roman" w:eastAsia="Times New Roman"/>
                <w:sz w:val="20"/>
              </w:rPr>
              <w:t>Медиан local IV өгөөж</w:t>
            </w:r>
          </w:p>
        </w:tc>
        <w:tc>
          <w:tcPr>
            <w:tcW w:type="dxa" w:w="1814"/>
            <w:vAlign w:val="center"/>
          </w:tcPr>
          <w:p>
            <w:pPr>
              <w:jc w:val="center"/>
            </w:pPr>
            <w:r>
              <w:rPr>
                <w:rFonts w:ascii="Times New Roman" w:hAnsi="Times New Roman" w:eastAsia="Times New Roman"/>
                <w:sz w:val="20"/>
              </w:rPr>
              <w:t>10.58%</w:t>
            </w:r>
          </w:p>
        </w:tc>
        <w:tc>
          <w:tcPr>
            <w:tcW w:type="dxa" w:w="3969"/>
            <w:vAlign w:val="center"/>
          </w:tcPr>
          <w:p>
            <w:pPr>
              <w:jc w:val="center"/>
            </w:pPr>
            <w:r>
              <w:rPr>
                <w:rFonts w:ascii="Times New Roman" w:hAnsi="Times New Roman" w:eastAsia="Times New Roman"/>
                <w:sz w:val="20"/>
              </w:rPr>
              <w:t>Тархалтын төв</w:t>
            </w:r>
          </w:p>
        </w:tc>
      </w:tr>
      <w:tr>
        <w:tc>
          <w:tcPr>
            <w:tcW w:type="dxa" w:w="2608"/>
            <w:vAlign w:val="center"/>
          </w:tcPr>
          <w:p>
            <w:pPr>
              <w:jc w:val="left"/>
            </w:pPr>
            <w:r>
              <w:rPr>
                <w:rFonts w:ascii="Times New Roman" w:hAnsi="Times New Roman" w:eastAsia="Times New Roman"/>
                <w:sz w:val="20"/>
              </w:rPr>
              <w:t>10-90 хувийн муж</w:t>
            </w:r>
          </w:p>
        </w:tc>
        <w:tc>
          <w:tcPr>
            <w:tcW w:type="dxa" w:w="1814"/>
            <w:vAlign w:val="center"/>
          </w:tcPr>
          <w:p>
            <w:pPr>
              <w:jc w:val="center"/>
            </w:pPr>
            <w:r>
              <w:rPr>
                <w:rFonts w:ascii="Times New Roman" w:hAnsi="Times New Roman" w:eastAsia="Times New Roman"/>
                <w:sz w:val="20"/>
              </w:rPr>
              <w:t>6.92-16.84%</w:t>
            </w:r>
          </w:p>
        </w:tc>
        <w:tc>
          <w:tcPr>
            <w:tcW w:type="dxa" w:w="3969"/>
            <w:vAlign w:val="center"/>
          </w:tcPr>
          <w:p>
            <w:pPr>
              <w:jc w:val="center"/>
            </w:pPr>
            <w:r>
              <w:rPr>
                <w:rFonts w:ascii="Times New Roman" w:hAnsi="Times New Roman" w:eastAsia="Times New Roman"/>
                <w:sz w:val="20"/>
              </w:rPr>
              <w:t>Өгөөжийн ялгаатай байдлын хүрээ</w:t>
            </w:r>
          </w:p>
        </w:tc>
      </w:tr>
      <w:tr>
        <w:tc>
          <w:tcPr>
            <w:tcW w:type="dxa" w:w="2608"/>
            <w:vAlign w:val="center"/>
          </w:tcPr>
          <w:p>
            <w:pPr>
              <w:jc w:val="left"/>
            </w:pPr>
            <w:r>
              <w:rPr>
                <w:rFonts w:ascii="Times New Roman" w:hAnsi="Times New Roman" w:eastAsia="Times New Roman"/>
                <w:sz w:val="20"/>
              </w:rPr>
              <w:t>Харьцуулах ХШХБК өгөөж</w:t>
            </w:r>
          </w:p>
        </w:tc>
        <w:tc>
          <w:tcPr>
            <w:tcW w:type="dxa" w:w="1814"/>
            <w:vAlign w:val="center"/>
          </w:tcPr>
          <w:p>
            <w:pPr>
              <w:jc w:val="center"/>
            </w:pPr>
            <w:r>
              <w:rPr>
                <w:rFonts w:ascii="Times New Roman" w:hAnsi="Times New Roman" w:eastAsia="Times New Roman"/>
                <w:sz w:val="20"/>
              </w:rPr>
              <w:t>10.88%</w:t>
            </w:r>
          </w:p>
        </w:tc>
        <w:tc>
          <w:tcPr>
            <w:tcW w:type="dxa" w:w="3969"/>
            <w:vAlign w:val="center"/>
          </w:tcPr>
          <w:p>
            <w:pPr>
              <w:jc w:val="center"/>
            </w:pPr>
            <w:r>
              <w:rPr>
                <w:rFonts w:ascii="Times New Roman" w:hAnsi="Times New Roman" w:eastAsia="Times New Roman"/>
                <w:sz w:val="20"/>
              </w:rPr>
              <w:t>Үндсэн IV дундаж өгөөж</w:t>
            </w:r>
          </w:p>
        </w:tc>
      </w:tr>
    </w:tbl>
    <w:p>
      <w:pPr>
        <w:spacing w:before="40" w:after="120"/>
        <w:jc w:val="left"/>
      </w:pPr>
      <w:r>
        <w:rPr>
          <w:rFonts w:ascii="Times New Roman" w:hAnsi="Times New Roman" w:eastAsia="Times New Roman"/>
          <w:i/>
          <w:sz w:val="18"/>
        </w:rPr>
        <w:t>Эх сурвалж: Оюутны тооцоолол.</w:t>
      </w:r>
    </w:p>
    <w:p>
      <w:pPr>
        <w:spacing w:line="360" w:lineRule="auto" w:before="120" w:after="120"/>
        <w:ind w:firstLine="709"/>
        <w:jc w:val="both"/>
      </w:pPr>
      <w:r>
        <w:rPr>
          <w:rFonts w:ascii="Times New Roman" w:hAnsi="Times New Roman" w:eastAsia="Times New Roman"/>
          <w:b w:val="0"/>
          <w:i w:val="0"/>
        </w:rPr>
        <w:t>Хүснэгт 9-өөс харахад Instrumental Forest-ийн таамагласан local IV өгөөж дунджаар 11.35 хувь, медианаар 10.58 хувь байна. Энэ нь ХШХБК үнэлгээнээс гарсан 10.88 хувийн дундаж өгөөжтэй ойролцоо байгаа тул нэмэлт machine learning загвар нийт түвшинд үндсэн IV үр дүнгээс зөрсөн, хэт өөр дүгнэлт гаргаагүй байна. Харин 10-90 хувийн муж 6.92-16.84 хувь байгаа нь боловсролын өгөөж нэг дундаж коэффициентээр бүрэн тайлбарлагдахгүй, бүлэг хоорондын ялгаатай байдлыг агуулж байгааг харуулна.</w:t>
      </w:r>
    </w:p>
    <w:p>
      <w:pPr>
        <w:spacing w:before="120" w:after="40"/>
        <w:jc w:val="left"/>
      </w:pPr>
      <w:r>
        <w:rPr>
          <w:rFonts w:ascii="Times New Roman" w:hAnsi="Times New Roman" w:eastAsia="Times New Roman"/>
          <w:b/>
          <w:i/>
          <w:sz w:val="20"/>
        </w:rPr>
        <w:t>Зураг 6. Instrumental Forest local IV өгөөжийн тархалт</w:t>
      </w:r>
    </w:p>
    <w:p>
      <w:pPr>
        <w:spacing w:before="60" w:after="60"/>
        <w:jc w:val="center"/>
      </w:pPr>
      <w:r>
        <w:drawing>
          <wp:inline xmlns:a="http://schemas.openxmlformats.org/drawingml/2006/main" xmlns:pic="http://schemas.openxmlformats.org/drawingml/2006/picture">
            <wp:extent cx="5715000" cy="3714750"/>
            <wp:docPr id="1" name="Picture 1"/>
            <wp:cNvGraphicFramePr>
              <a:graphicFrameLocks noChangeAspect="1"/>
            </wp:cNvGraphicFramePr>
            <a:graphic>
              <a:graphicData uri="http://schemas.openxmlformats.org/drawingml/2006/picture">
                <pic:pic>
                  <pic:nvPicPr>
                    <pic:cNvPr id="0" name="instrumental_forest_tau_distribution.png"/>
                    <pic:cNvPicPr/>
                  </pic:nvPicPr>
                  <pic:blipFill>
                    <a:blip r:embed="rId20"/>
                    <a:stretch>
                      <a:fillRect/>
                    </a:stretch>
                  </pic:blipFill>
                  <pic:spPr>
                    <a:xfrm>
                      <a:off x="0" y="0"/>
                      <a:ext cx="5715000" cy="3714750"/>
                    </a:xfrm>
                    <a:prstGeom prst="rect"/>
                  </pic:spPr>
                </pic:pic>
              </a:graphicData>
            </a:graphic>
          </wp:inline>
        </w:drawing>
      </w:r>
    </w:p>
    <w:p>
      <w:pPr>
        <w:spacing w:before="40" w:after="120"/>
        <w:jc w:val="left"/>
      </w:pPr>
      <w:r>
        <w:rPr>
          <w:rFonts w:ascii="Times New Roman" w:hAnsi="Times New Roman" w:eastAsia="Times New Roman"/>
          <w:i/>
          <w:sz w:val="18"/>
        </w:rPr>
        <w:t>Эх сурвалж: Оюутны тооцоолол.</w:t>
      </w:r>
    </w:p>
    <w:p>
      <w:pPr>
        <w:spacing w:line="360" w:lineRule="auto" w:before="120" w:after="120"/>
        <w:ind w:firstLine="709"/>
        <w:jc w:val="both"/>
      </w:pPr>
      <w:r>
        <w:rPr>
          <w:rFonts w:ascii="Times New Roman" w:hAnsi="Times New Roman" w:eastAsia="Times New Roman"/>
          <w:b w:val="0"/>
          <w:i w:val="0"/>
        </w:rPr>
        <w:t>Зураг 6-д local IV өгөөжийн тархалтыг харуулав. Тасархай босоо шугам нь ХШХБК-ийн дундаж өгөөжийг илэрхийлнэ. Тархалтын төв хэсэг 10-12 хувийн орчимд байрлаж байгаа боловч баруун талдаа өндөр өгөөжтэй бүлгүүд ажиглагдаж байна. Энэ нь боловсролын өгөөжийн дундаж хэмжээ эерэг бөгөөд бодлогын хувьд чухал боловч бүх ажиллагчдад ижил хүчтэй илэрдэггүйг харуулна.</w:t>
      </w:r>
    </w:p>
    <w:p>
      <w:pPr>
        <w:spacing w:before="120" w:after="40"/>
        <w:jc w:val="left"/>
      </w:pPr>
      <w:r>
        <w:rPr>
          <w:rFonts w:ascii="Times New Roman" w:hAnsi="Times New Roman" w:eastAsia="Times New Roman"/>
          <w:b/>
          <w:i/>
          <w:sz w:val="20"/>
        </w:rPr>
        <w:t>Хүснэгт 10. Local IV өгөөжийн квартил бүлгүүдийн харьцуулалт</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701"/>
            <w:shd w:fill="D9EAF7"/>
            <w:vAlign w:val="center"/>
          </w:tcPr>
          <w:p>
            <w:pPr>
              <w:jc w:val="center"/>
            </w:pPr>
            <w:r>
              <w:rPr>
                <w:rFonts w:ascii="Times New Roman" w:hAnsi="Times New Roman" w:eastAsia="Times New Roman"/>
                <w:b/>
                <w:sz w:val="20"/>
              </w:rPr>
              <w:t>Бүлэг</w:t>
            </w:r>
          </w:p>
        </w:tc>
        <w:tc>
          <w:tcPr>
            <w:tcW w:type="dxa" w:w="964"/>
            <w:shd w:fill="D9EAF7"/>
            <w:vAlign w:val="center"/>
          </w:tcPr>
          <w:p>
            <w:pPr>
              <w:jc w:val="center"/>
            </w:pPr>
            <w:r>
              <w:rPr>
                <w:rFonts w:ascii="Times New Roman" w:hAnsi="Times New Roman" w:eastAsia="Times New Roman"/>
                <w:b/>
                <w:sz w:val="20"/>
              </w:rPr>
              <w:t>N</w:t>
            </w:r>
          </w:p>
        </w:tc>
        <w:tc>
          <w:tcPr>
            <w:tcW w:type="dxa" w:w="1474"/>
            <w:shd w:fill="D9EAF7"/>
            <w:vAlign w:val="center"/>
          </w:tcPr>
          <w:p>
            <w:pPr>
              <w:jc w:val="center"/>
            </w:pPr>
            <w:r>
              <w:rPr>
                <w:rFonts w:ascii="Times New Roman" w:hAnsi="Times New Roman" w:eastAsia="Times New Roman"/>
                <w:b/>
                <w:sz w:val="20"/>
              </w:rPr>
              <w:t>Дундаж өгөөж</w:t>
            </w:r>
          </w:p>
        </w:tc>
        <w:tc>
          <w:tcPr>
            <w:tcW w:type="dxa" w:w="1417"/>
            <w:shd w:fill="D9EAF7"/>
            <w:vAlign w:val="center"/>
          </w:tcPr>
          <w:p>
            <w:pPr>
              <w:jc w:val="center"/>
            </w:pPr>
            <w:r>
              <w:rPr>
                <w:rFonts w:ascii="Times New Roman" w:hAnsi="Times New Roman" w:eastAsia="Times New Roman"/>
                <w:b/>
                <w:sz w:val="20"/>
              </w:rPr>
              <w:t>STR медиан</w:t>
            </w:r>
          </w:p>
        </w:tc>
        <w:tc>
          <w:tcPr>
            <w:tcW w:type="dxa" w:w="1304"/>
            <w:shd w:fill="D9EAF7"/>
            <w:vAlign w:val="center"/>
          </w:tcPr>
          <w:p>
            <w:pPr>
              <w:jc w:val="center"/>
            </w:pPr>
            <w:r>
              <w:rPr>
                <w:rFonts w:ascii="Times New Roman" w:hAnsi="Times New Roman" w:eastAsia="Times New Roman"/>
                <w:b/>
                <w:sz w:val="20"/>
              </w:rPr>
              <w:t>Хотын хувь</w:t>
            </w:r>
          </w:p>
        </w:tc>
        <w:tc>
          <w:tcPr>
            <w:tcW w:type="dxa" w:w="1304"/>
            <w:shd w:fill="D9EAF7"/>
            <w:vAlign w:val="center"/>
          </w:tcPr>
          <w:p>
            <w:pPr>
              <w:jc w:val="center"/>
            </w:pPr>
            <w:r>
              <w:rPr>
                <w:rFonts w:ascii="Times New Roman" w:hAnsi="Times New Roman" w:eastAsia="Times New Roman"/>
                <w:b/>
                <w:sz w:val="20"/>
              </w:rPr>
              <w:t>Эмэгтэй хувь</w:t>
            </w:r>
          </w:p>
        </w:tc>
      </w:tr>
      <w:tr>
        <w:tc>
          <w:tcPr>
            <w:tcW w:type="dxa" w:w="1701"/>
            <w:vAlign w:val="center"/>
          </w:tcPr>
          <w:p>
            <w:pPr>
              <w:jc w:val="left"/>
            </w:pPr>
            <w:r>
              <w:rPr>
                <w:rFonts w:ascii="Times New Roman" w:hAnsi="Times New Roman" w:eastAsia="Times New Roman"/>
                <w:sz w:val="20"/>
              </w:rPr>
              <w:t>Доод 25%</w:t>
            </w:r>
          </w:p>
        </w:tc>
        <w:tc>
          <w:tcPr>
            <w:tcW w:type="dxa" w:w="964"/>
            <w:vAlign w:val="center"/>
          </w:tcPr>
          <w:p>
            <w:pPr>
              <w:jc w:val="center"/>
            </w:pPr>
            <w:r>
              <w:rPr>
                <w:rFonts w:ascii="Times New Roman" w:hAnsi="Times New Roman" w:eastAsia="Times New Roman"/>
                <w:sz w:val="20"/>
              </w:rPr>
              <w:t>797</w:t>
            </w:r>
          </w:p>
        </w:tc>
        <w:tc>
          <w:tcPr>
            <w:tcW w:type="dxa" w:w="1474"/>
            <w:vAlign w:val="center"/>
          </w:tcPr>
          <w:p>
            <w:pPr>
              <w:jc w:val="center"/>
            </w:pPr>
            <w:r>
              <w:rPr>
                <w:rFonts w:ascii="Times New Roman" w:hAnsi="Times New Roman" w:eastAsia="Times New Roman"/>
                <w:sz w:val="20"/>
              </w:rPr>
              <w:t>6.95%</w:t>
            </w:r>
          </w:p>
        </w:tc>
        <w:tc>
          <w:tcPr>
            <w:tcW w:type="dxa" w:w="1417"/>
            <w:vAlign w:val="center"/>
          </w:tcPr>
          <w:p>
            <w:pPr>
              <w:jc w:val="center"/>
            </w:pPr>
            <w:r>
              <w:rPr>
                <w:rFonts w:ascii="Times New Roman" w:hAnsi="Times New Roman" w:eastAsia="Times New Roman"/>
                <w:sz w:val="20"/>
              </w:rPr>
              <w:t>20.14</w:t>
            </w:r>
          </w:p>
        </w:tc>
        <w:tc>
          <w:tcPr>
            <w:tcW w:type="dxa" w:w="1304"/>
            <w:vAlign w:val="center"/>
          </w:tcPr>
          <w:p>
            <w:pPr>
              <w:jc w:val="center"/>
            </w:pPr>
            <w:r>
              <w:rPr>
                <w:rFonts w:ascii="Times New Roman" w:hAnsi="Times New Roman" w:eastAsia="Times New Roman"/>
                <w:sz w:val="20"/>
              </w:rPr>
              <w:t>68.63%</w:t>
            </w:r>
          </w:p>
        </w:tc>
        <w:tc>
          <w:tcPr>
            <w:tcW w:type="dxa" w:w="1304"/>
            <w:vAlign w:val="center"/>
          </w:tcPr>
          <w:p>
            <w:pPr>
              <w:jc w:val="center"/>
            </w:pPr>
            <w:r>
              <w:rPr>
                <w:rFonts w:ascii="Times New Roman" w:hAnsi="Times New Roman" w:eastAsia="Times New Roman"/>
                <w:sz w:val="20"/>
              </w:rPr>
              <w:t>13.55%</w:t>
            </w:r>
          </w:p>
        </w:tc>
      </w:tr>
      <w:tr>
        <w:tc>
          <w:tcPr>
            <w:tcW w:type="dxa" w:w="1701"/>
            <w:vAlign w:val="center"/>
          </w:tcPr>
          <w:p>
            <w:pPr>
              <w:jc w:val="left"/>
            </w:pPr>
            <w:r>
              <w:rPr>
                <w:rFonts w:ascii="Times New Roman" w:hAnsi="Times New Roman" w:eastAsia="Times New Roman"/>
                <w:sz w:val="20"/>
              </w:rPr>
              <w:t>Дунд-доод 25%</w:t>
            </w:r>
          </w:p>
        </w:tc>
        <w:tc>
          <w:tcPr>
            <w:tcW w:type="dxa" w:w="964"/>
            <w:vAlign w:val="center"/>
          </w:tcPr>
          <w:p>
            <w:pPr>
              <w:jc w:val="center"/>
            </w:pPr>
            <w:r>
              <w:rPr>
                <w:rFonts w:ascii="Times New Roman" w:hAnsi="Times New Roman" w:eastAsia="Times New Roman"/>
                <w:sz w:val="20"/>
              </w:rPr>
              <w:t>797</w:t>
            </w:r>
          </w:p>
        </w:tc>
        <w:tc>
          <w:tcPr>
            <w:tcW w:type="dxa" w:w="1474"/>
            <w:vAlign w:val="center"/>
          </w:tcPr>
          <w:p>
            <w:pPr>
              <w:jc w:val="center"/>
            </w:pPr>
            <w:r>
              <w:rPr>
                <w:rFonts w:ascii="Times New Roman" w:hAnsi="Times New Roman" w:eastAsia="Times New Roman"/>
                <w:sz w:val="20"/>
              </w:rPr>
              <w:t>9.52%</w:t>
            </w:r>
          </w:p>
        </w:tc>
        <w:tc>
          <w:tcPr>
            <w:tcW w:type="dxa" w:w="1417"/>
            <w:vAlign w:val="center"/>
          </w:tcPr>
          <w:p>
            <w:pPr>
              <w:jc w:val="center"/>
            </w:pPr>
            <w:r>
              <w:rPr>
                <w:rFonts w:ascii="Times New Roman" w:hAnsi="Times New Roman" w:eastAsia="Times New Roman"/>
                <w:sz w:val="20"/>
              </w:rPr>
              <w:t>20.60</w:t>
            </w:r>
          </w:p>
        </w:tc>
        <w:tc>
          <w:tcPr>
            <w:tcW w:type="dxa" w:w="1304"/>
            <w:vAlign w:val="center"/>
          </w:tcPr>
          <w:p>
            <w:pPr>
              <w:jc w:val="center"/>
            </w:pPr>
            <w:r>
              <w:rPr>
                <w:rFonts w:ascii="Times New Roman" w:hAnsi="Times New Roman" w:eastAsia="Times New Roman"/>
                <w:sz w:val="20"/>
              </w:rPr>
              <w:t>78.04%</w:t>
            </w:r>
          </w:p>
        </w:tc>
        <w:tc>
          <w:tcPr>
            <w:tcW w:type="dxa" w:w="1304"/>
            <w:vAlign w:val="center"/>
          </w:tcPr>
          <w:p>
            <w:pPr>
              <w:jc w:val="center"/>
            </w:pPr>
            <w:r>
              <w:rPr>
                <w:rFonts w:ascii="Times New Roman" w:hAnsi="Times New Roman" w:eastAsia="Times New Roman"/>
                <w:sz w:val="20"/>
              </w:rPr>
              <w:t>20.70%</w:t>
            </w:r>
          </w:p>
        </w:tc>
      </w:tr>
      <w:tr>
        <w:tc>
          <w:tcPr>
            <w:tcW w:type="dxa" w:w="1701"/>
            <w:vAlign w:val="center"/>
          </w:tcPr>
          <w:p>
            <w:pPr>
              <w:jc w:val="left"/>
            </w:pPr>
            <w:r>
              <w:rPr>
                <w:rFonts w:ascii="Times New Roman" w:hAnsi="Times New Roman" w:eastAsia="Times New Roman"/>
                <w:sz w:val="20"/>
              </w:rPr>
              <w:t>Дунд-дээд 25%</w:t>
            </w:r>
          </w:p>
        </w:tc>
        <w:tc>
          <w:tcPr>
            <w:tcW w:type="dxa" w:w="964"/>
            <w:vAlign w:val="center"/>
          </w:tcPr>
          <w:p>
            <w:pPr>
              <w:jc w:val="center"/>
            </w:pPr>
            <w:r>
              <w:rPr>
                <w:rFonts w:ascii="Times New Roman" w:hAnsi="Times New Roman" w:eastAsia="Times New Roman"/>
                <w:sz w:val="20"/>
              </w:rPr>
              <w:t>797</w:t>
            </w:r>
          </w:p>
        </w:tc>
        <w:tc>
          <w:tcPr>
            <w:tcW w:type="dxa" w:w="1474"/>
            <w:vAlign w:val="center"/>
          </w:tcPr>
          <w:p>
            <w:pPr>
              <w:jc w:val="center"/>
            </w:pPr>
            <w:r>
              <w:rPr>
                <w:rFonts w:ascii="Times New Roman" w:hAnsi="Times New Roman" w:eastAsia="Times New Roman"/>
                <w:sz w:val="20"/>
              </w:rPr>
              <w:t>12.02%</w:t>
            </w:r>
          </w:p>
        </w:tc>
        <w:tc>
          <w:tcPr>
            <w:tcW w:type="dxa" w:w="1417"/>
            <w:vAlign w:val="center"/>
          </w:tcPr>
          <w:p>
            <w:pPr>
              <w:jc w:val="center"/>
            </w:pPr>
            <w:r>
              <w:rPr>
                <w:rFonts w:ascii="Times New Roman" w:hAnsi="Times New Roman" w:eastAsia="Times New Roman"/>
                <w:sz w:val="20"/>
              </w:rPr>
              <w:t>23.10</w:t>
            </w:r>
          </w:p>
        </w:tc>
        <w:tc>
          <w:tcPr>
            <w:tcW w:type="dxa" w:w="1304"/>
            <w:vAlign w:val="center"/>
          </w:tcPr>
          <w:p>
            <w:pPr>
              <w:jc w:val="center"/>
            </w:pPr>
            <w:r>
              <w:rPr>
                <w:rFonts w:ascii="Times New Roman" w:hAnsi="Times New Roman" w:eastAsia="Times New Roman"/>
                <w:sz w:val="20"/>
              </w:rPr>
              <w:t>82.18%</w:t>
            </w:r>
          </w:p>
        </w:tc>
        <w:tc>
          <w:tcPr>
            <w:tcW w:type="dxa" w:w="1304"/>
            <w:vAlign w:val="center"/>
          </w:tcPr>
          <w:p>
            <w:pPr>
              <w:jc w:val="center"/>
            </w:pPr>
            <w:r>
              <w:rPr>
                <w:rFonts w:ascii="Times New Roman" w:hAnsi="Times New Roman" w:eastAsia="Times New Roman"/>
                <w:sz w:val="20"/>
              </w:rPr>
              <w:t>54.45%</w:t>
            </w:r>
          </w:p>
        </w:tc>
      </w:tr>
      <w:tr>
        <w:tc>
          <w:tcPr>
            <w:tcW w:type="dxa" w:w="1701"/>
            <w:vAlign w:val="center"/>
          </w:tcPr>
          <w:p>
            <w:pPr>
              <w:jc w:val="left"/>
            </w:pPr>
            <w:r>
              <w:rPr>
                <w:rFonts w:ascii="Times New Roman" w:hAnsi="Times New Roman" w:eastAsia="Times New Roman"/>
                <w:sz w:val="20"/>
              </w:rPr>
              <w:t>Дээд 25%</w:t>
            </w:r>
          </w:p>
        </w:tc>
        <w:tc>
          <w:tcPr>
            <w:tcW w:type="dxa" w:w="964"/>
            <w:vAlign w:val="center"/>
          </w:tcPr>
          <w:p>
            <w:pPr>
              <w:jc w:val="center"/>
            </w:pPr>
            <w:r>
              <w:rPr>
                <w:rFonts w:ascii="Times New Roman" w:hAnsi="Times New Roman" w:eastAsia="Times New Roman"/>
                <w:sz w:val="20"/>
              </w:rPr>
              <w:t>797</w:t>
            </w:r>
          </w:p>
        </w:tc>
        <w:tc>
          <w:tcPr>
            <w:tcW w:type="dxa" w:w="1474"/>
            <w:vAlign w:val="center"/>
          </w:tcPr>
          <w:p>
            <w:pPr>
              <w:jc w:val="center"/>
            </w:pPr>
            <w:r>
              <w:rPr>
                <w:rFonts w:ascii="Times New Roman" w:hAnsi="Times New Roman" w:eastAsia="Times New Roman"/>
                <w:sz w:val="20"/>
              </w:rPr>
              <w:t>16.93%</w:t>
            </w:r>
          </w:p>
        </w:tc>
        <w:tc>
          <w:tcPr>
            <w:tcW w:type="dxa" w:w="1417"/>
            <w:vAlign w:val="center"/>
          </w:tcPr>
          <w:p>
            <w:pPr>
              <w:jc w:val="center"/>
            </w:pPr>
            <w:r>
              <w:rPr>
                <w:rFonts w:ascii="Times New Roman" w:hAnsi="Times New Roman" w:eastAsia="Times New Roman"/>
                <w:sz w:val="20"/>
              </w:rPr>
              <w:t>19.58</w:t>
            </w:r>
          </w:p>
        </w:tc>
        <w:tc>
          <w:tcPr>
            <w:tcW w:type="dxa" w:w="1304"/>
            <w:vAlign w:val="center"/>
          </w:tcPr>
          <w:p>
            <w:pPr>
              <w:jc w:val="center"/>
            </w:pPr>
            <w:r>
              <w:rPr>
                <w:rFonts w:ascii="Times New Roman" w:hAnsi="Times New Roman" w:eastAsia="Times New Roman"/>
                <w:sz w:val="20"/>
              </w:rPr>
              <w:t>76.91%</w:t>
            </w:r>
          </w:p>
        </w:tc>
        <w:tc>
          <w:tcPr>
            <w:tcW w:type="dxa" w:w="1304"/>
            <w:vAlign w:val="center"/>
          </w:tcPr>
          <w:p>
            <w:pPr>
              <w:jc w:val="center"/>
            </w:pPr>
            <w:r>
              <w:rPr>
                <w:rFonts w:ascii="Times New Roman" w:hAnsi="Times New Roman" w:eastAsia="Times New Roman"/>
                <w:sz w:val="20"/>
              </w:rPr>
              <w:t>100.00%</w:t>
            </w:r>
          </w:p>
        </w:tc>
      </w:tr>
    </w:tbl>
    <w:p>
      <w:pPr>
        <w:spacing w:before="40" w:after="120"/>
        <w:jc w:val="left"/>
      </w:pPr>
      <w:r>
        <w:rPr>
          <w:rFonts w:ascii="Times New Roman" w:hAnsi="Times New Roman" w:eastAsia="Times New Roman"/>
          <w:i/>
          <w:sz w:val="18"/>
        </w:rPr>
        <w:t>Эх сурвалж: Оюутны тооцоолол.</w:t>
      </w:r>
    </w:p>
    <w:p>
      <w:pPr>
        <w:spacing w:line="360" w:lineRule="auto" w:before="120" w:after="120"/>
        <w:ind w:firstLine="709"/>
        <w:jc w:val="both"/>
      </w:pPr>
      <w:r>
        <w:rPr>
          <w:rFonts w:ascii="Times New Roman" w:hAnsi="Times New Roman" w:eastAsia="Times New Roman"/>
          <w:b w:val="0"/>
          <w:i w:val="0"/>
        </w:rPr>
        <w:t>Хүснэгт 10-д local IV өгөөжийн таамаглалаар дөрвөн тэнцүү бүлэг болгон харьцуулсан үр дүнг үзүүлэв. Доод 25 хувийн бүлгийн дундаж өгөөж 6.95 хувь байгаа бол дээд 25 хувийн бүлгийн дундаж өгөөж 16.93 хувь байна. Энэ ялгаа нь Instrumental Forest-ийн гол мэдээлэл бөгөөд боловсролын өгөөж нь зөвхөн дундаж коэффициент бус, ажиглагдсан шинжүүдээр ялгаатай тархах боломжтойг харуулна.</w:t>
      </w:r>
    </w:p>
    <w:p>
      <w:pPr>
        <w:spacing w:before="120" w:after="40"/>
        <w:jc w:val="left"/>
      </w:pPr>
      <w:r>
        <w:rPr>
          <w:rFonts w:ascii="Times New Roman" w:hAnsi="Times New Roman" w:eastAsia="Times New Roman"/>
          <w:b/>
          <w:i/>
          <w:sz w:val="20"/>
        </w:rPr>
        <w:t>Зураг 7. Local IV өгөөж ба 17-18 насны сурагч-багшийн харьцаа</w:t>
      </w:r>
    </w:p>
    <w:p>
      <w:pPr>
        <w:spacing w:before="60" w:after="60"/>
        <w:jc w:val="center"/>
      </w:pPr>
      <w:r>
        <w:drawing>
          <wp:inline xmlns:a="http://schemas.openxmlformats.org/drawingml/2006/main" xmlns:pic="http://schemas.openxmlformats.org/drawingml/2006/picture">
            <wp:extent cx="5715000" cy="3714750"/>
            <wp:docPr id="2" name="Picture 2"/>
            <wp:cNvGraphicFramePr>
              <a:graphicFrameLocks noChangeAspect="1"/>
            </wp:cNvGraphicFramePr>
            <a:graphic>
              <a:graphicData uri="http://schemas.openxmlformats.org/drawingml/2006/picture">
                <pic:pic>
                  <pic:nvPicPr>
                    <pic:cNvPr id="0" name="instrumental_forest_tau_by_student_teacher_ratio.png"/>
                    <pic:cNvPicPr/>
                  </pic:nvPicPr>
                  <pic:blipFill>
                    <a:blip r:embed="rId21"/>
                    <a:stretch>
                      <a:fillRect/>
                    </a:stretch>
                  </pic:blipFill>
                  <pic:spPr>
                    <a:xfrm>
                      <a:off x="0" y="0"/>
                      <a:ext cx="5715000" cy="3714750"/>
                    </a:xfrm>
                    <a:prstGeom prst="rect"/>
                  </pic:spPr>
                </pic:pic>
              </a:graphicData>
            </a:graphic>
          </wp:inline>
        </w:drawing>
      </w:r>
    </w:p>
    <w:p>
      <w:pPr>
        <w:spacing w:before="40" w:after="120"/>
        <w:jc w:val="left"/>
      </w:pPr>
      <w:r>
        <w:rPr>
          <w:rFonts w:ascii="Times New Roman" w:hAnsi="Times New Roman" w:eastAsia="Times New Roman"/>
          <w:i/>
          <w:sz w:val="18"/>
        </w:rPr>
        <w:t>Эх сурвалж: Оюутны тооцоолол.</w:t>
      </w:r>
    </w:p>
    <w:p>
      <w:pPr>
        <w:spacing w:line="360" w:lineRule="auto" w:before="120" w:after="120"/>
        <w:ind w:firstLine="709"/>
        <w:jc w:val="both"/>
      </w:pPr>
      <w:r>
        <w:rPr>
          <w:rFonts w:ascii="Times New Roman" w:hAnsi="Times New Roman" w:eastAsia="Times New Roman"/>
          <w:b w:val="0"/>
          <w:i w:val="0"/>
        </w:rPr>
        <w:t>Зураг 7-д local IV өгөөжийг 17-18 насны сурагч-багшийн дундаж харьцаатай холбон харуулав. Босгоны орчимд ажиглалтууд нягт байрлаж байгаа бөгөөд өгөөж нь нэг чиглэлтэй шугаман өсөлт эсвэл бууралтаар бүрэн тайлбарлагдахгүй байна. STR-ийн 19.53 босгоор хоёр регимд дундажлахад local IV өгөөж доод регимд 11.99 хувь, дээд регимд 11.04 хувь гарсан. Энэ нь ХХБР-ийн дээд регимд өндөр өгөөж илэрсэн үр дүнг шууд давтаагүй боловч боловсролын өгөөжийн ялгаа зөвхөн STR босгоор бус, бусад шинжүүдтэй хамт нөхцөлдөн илэрч байгааг харуулна.</w:t>
      </w:r>
    </w:p>
    <w:p>
      <w:pPr>
        <w:spacing w:before="120" w:after="40"/>
        <w:jc w:val="left"/>
      </w:pPr>
      <w:r>
        <w:rPr>
          <w:rFonts w:ascii="Times New Roman" w:hAnsi="Times New Roman" w:eastAsia="Times New Roman"/>
          <w:b/>
          <w:i/>
          <w:sz w:val="20"/>
        </w:rPr>
        <w:t>Хүснэгт 11. Instrumental Forest variable importance-ийн нэгтгэл</w:t>
      </w:r>
    </w:p>
    <w:tbl>
      <w:tblPr>
        <w:tblStyle w:val="TableGrid"/>
        <w:tblW w:type="auto" w:w="0"/>
        <w:jc w:val="center"/>
        <w:tblLook w:firstColumn="1" w:firstRow="1" w:lastColumn="0" w:lastRow="0" w:noHBand="0" w:noVBand="1" w:val="04A0"/>
      </w:tblPr>
      <w:tblGrid>
        <w:gridCol w:w="3024"/>
        <w:gridCol w:w="3024"/>
        <w:gridCol w:w="3024"/>
      </w:tblGrid>
      <w:tr>
        <w:tc>
          <w:tcPr>
            <w:tcW w:type="dxa" w:w="2835"/>
            <w:shd w:fill="D9EAF7"/>
            <w:vAlign w:val="center"/>
          </w:tcPr>
          <w:p>
            <w:pPr>
              <w:jc w:val="center"/>
            </w:pPr>
            <w:r>
              <w:rPr>
                <w:rFonts w:ascii="Times New Roman" w:hAnsi="Times New Roman" w:eastAsia="Times New Roman"/>
                <w:b/>
                <w:sz w:val="20"/>
              </w:rPr>
              <w:t>Хувьсагчийн бүлэг</w:t>
            </w:r>
          </w:p>
        </w:tc>
        <w:tc>
          <w:tcPr>
            <w:tcW w:type="dxa" w:w="1928"/>
            <w:shd w:fill="D9EAF7"/>
            <w:vAlign w:val="center"/>
          </w:tcPr>
          <w:p>
            <w:pPr>
              <w:jc w:val="center"/>
            </w:pPr>
            <w:r>
              <w:rPr>
                <w:rFonts w:ascii="Times New Roman" w:hAnsi="Times New Roman" w:eastAsia="Times New Roman"/>
                <w:b/>
                <w:sz w:val="20"/>
              </w:rPr>
              <w:t>Харьцангуй ач холбогдол</w:t>
            </w:r>
          </w:p>
        </w:tc>
        <w:tc>
          <w:tcPr>
            <w:tcW w:type="dxa" w:w="3969"/>
            <w:shd w:fill="D9EAF7"/>
            <w:vAlign w:val="center"/>
          </w:tcPr>
          <w:p>
            <w:pPr>
              <w:jc w:val="center"/>
            </w:pPr>
            <w:r>
              <w:rPr>
                <w:rFonts w:ascii="Times New Roman" w:hAnsi="Times New Roman" w:eastAsia="Times New Roman"/>
                <w:b/>
                <w:sz w:val="20"/>
              </w:rPr>
              <w:t>Тайлбар</w:t>
            </w:r>
          </w:p>
        </w:tc>
      </w:tr>
      <w:tr>
        <w:tc>
          <w:tcPr>
            <w:tcW w:type="dxa" w:w="2835"/>
            <w:vAlign w:val="center"/>
          </w:tcPr>
          <w:p>
            <w:pPr>
              <w:jc w:val="left"/>
            </w:pPr>
            <w:r>
              <w:rPr>
                <w:rFonts w:ascii="Times New Roman" w:hAnsi="Times New Roman" w:eastAsia="Times New Roman"/>
                <w:sz w:val="20"/>
              </w:rPr>
              <w:t>Хувийн шинж</w:t>
            </w:r>
          </w:p>
        </w:tc>
        <w:tc>
          <w:tcPr>
            <w:tcW w:type="dxa" w:w="1928"/>
            <w:vAlign w:val="center"/>
          </w:tcPr>
          <w:p>
            <w:pPr>
              <w:jc w:val="center"/>
            </w:pPr>
            <w:r>
              <w:rPr>
                <w:rFonts w:ascii="Times New Roman" w:hAnsi="Times New Roman" w:eastAsia="Times New Roman"/>
                <w:sz w:val="20"/>
              </w:rPr>
              <w:t>48.02%</w:t>
            </w:r>
          </w:p>
        </w:tc>
        <w:tc>
          <w:tcPr>
            <w:tcW w:type="dxa" w:w="3969"/>
            <w:vAlign w:val="center"/>
          </w:tcPr>
          <w:p>
            <w:pPr>
              <w:jc w:val="center"/>
            </w:pPr>
            <w:r>
              <w:rPr>
                <w:rFonts w:ascii="Times New Roman" w:hAnsi="Times New Roman" w:eastAsia="Times New Roman"/>
                <w:sz w:val="20"/>
              </w:rPr>
              <w:t>Өгөөжийн ялгааг ялгахад ашиглагдсан мэдээллийн хувь</w:t>
            </w:r>
          </w:p>
        </w:tc>
      </w:tr>
      <w:tr>
        <w:tc>
          <w:tcPr>
            <w:tcW w:type="dxa" w:w="2835"/>
            <w:vAlign w:val="center"/>
          </w:tcPr>
          <w:p>
            <w:pPr>
              <w:jc w:val="left"/>
            </w:pPr>
            <w:r>
              <w:rPr>
                <w:rFonts w:ascii="Times New Roman" w:hAnsi="Times New Roman" w:eastAsia="Times New Roman"/>
                <w:sz w:val="20"/>
              </w:rPr>
              <w:t>Сургуулийн хүртээмж</w:t>
            </w:r>
          </w:p>
        </w:tc>
        <w:tc>
          <w:tcPr>
            <w:tcW w:type="dxa" w:w="1928"/>
            <w:vAlign w:val="center"/>
          </w:tcPr>
          <w:p>
            <w:pPr>
              <w:jc w:val="center"/>
            </w:pPr>
            <w:r>
              <w:rPr>
                <w:rFonts w:ascii="Times New Roman" w:hAnsi="Times New Roman" w:eastAsia="Times New Roman"/>
                <w:sz w:val="20"/>
              </w:rPr>
              <w:t>19.23%</w:t>
            </w:r>
          </w:p>
        </w:tc>
        <w:tc>
          <w:tcPr>
            <w:tcW w:type="dxa" w:w="3969"/>
            <w:vAlign w:val="center"/>
          </w:tcPr>
          <w:p>
            <w:pPr>
              <w:jc w:val="center"/>
            </w:pPr>
            <w:r>
              <w:rPr>
                <w:rFonts w:ascii="Times New Roman" w:hAnsi="Times New Roman" w:eastAsia="Times New Roman"/>
                <w:sz w:val="20"/>
              </w:rPr>
              <w:t>Өгөөжийн ялгааг ялгахад ашиглагдсан мэдээллийн хувь</w:t>
            </w:r>
          </w:p>
        </w:tc>
      </w:tr>
      <w:tr>
        <w:tc>
          <w:tcPr>
            <w:tcW w:type="dxa" w:w="2835"/>
            <w:vAlign w:val="center"/>
          </w:tcPr>
          <w:p>
            <w:pPr>
              <w:jc w:val="left"/>
            </w:pPr>
            <w:r>
              <w:rPr>
                <w:rFonts w:ascii="Times New Roman" w:hAnsi="Times New Roman" w:eastAsia="Times New Roman"/>
                <w:sz w:val="20"/>
              </w:rPr>
              <w:t>Сурагч-багшийн харьцаа</w:t>
            </w:r>
          </w:p>
        </w:tc>
        <w:tc>
          <w:tcPr>
            <w:tcW w:type="dxa" w:w="1928"/>
            <w:vAlign w:val="center"/>
          </w:tcPr>
          <w:p>
            <w:pPr>
              <w:jc w:val="center"/>
            </w:pPr>
            <w:r>
              <w:rPr>
                <w:rFonts w:ascii="Times New Roman" w:hAnsi="Times New Roman" w:eastAsia="Times New Roman"/>
                <w:sz w:val="20"/>
              </w:rPr>
              <w:t>15.23%</w:t>
            </w:r>
          </w:p>
        </w:tc>
        <w:tc>
          <w:tcPr>
            <w:tcW w:type="dxa" w:w="3969"/>
            <w:vAlign w:val="center"/>
          </w:tcPr>
          <w:p>
            <w:pPr>
              <w:jc w:val="center"/>
            </w:pPr>
            <w:r>
              <w:rPr>
                <w:rFonts w:ascii="Times New Roman" w:hAnsi="Times New Roman" w:eastAsia="Times New Roman"/>
                <w:sz w:val="20"/>
              </w:rPr>
              <w:t>Өгөөжийн ялгааг ялгахад ашиглагдсан мэдээллийн хувь</w:t>
            </w:r>
          </w:p>
        </w:tc>
      </w:tr>
      <w:tr>
        <w:tc>
          <w:tcPr>
            <w:tcW w:type="dxa" w:w="2835"/>
            <w:vAlign w:val="center"/>
          </w:tcPr>
          <w:p>
            <w:pPr>
              <w:jc w:val="left"/>
            </w:pPr>
            <w:r>
              <w:rPr>
                <w:rFonts w:ascii="Times New Roman" w:hAnsi="Times New Roman" w:eastAsia="Times New Roman"/>
                <w:sz w:val="20"/>
              </w:rPr>
              <w:t>Судалгааны давалгаа</w:t>
            </w:r>
          </w:p>
        </w:tc>
        <w:tc>
          <w:tcPr>
            <w:tcW w:type="dxa" w:w="1928"/>
            <w:vAlign w:val="center"/>
          </w:tcPr>
          <w:p>
            <w:pPr>
              <w:jc w:val="center"/>
            </w:pPr>
            <w:r>
              <w:rPr>
                <w:rFonts w:ascii="Times New Roman" w:hAnsi="Times New Roman" w:eastAsia="Times New Roman"/>
                <w:sz w:val="20"/>
              </w:rPr>
              <w:t>10.22%</w:t>
            </w:r>
          </w:p>
        </w:tc>
        <w:tc>
          <w:tcPr>
            <w:tcW w:type="dxa" w:w="3969"/>
            <w:vAlign w:val="center"/>
          </w:tcPr>
          <w:p>
            <w:pPr>
              <w:jc w:val="center"/>
            </w:pPr>
            <w:r>
              <w:rPr>
                <w:rFonts w:ascii="Times New Roman" w:hAnsi="Times New Roman" w:eastAsia="Times New Roman"/>
                <w:sz w:val="20"/>
              </w:rPr>
              <w:t>Өгөөжийн ялгааг ялгахад ашиглагдсан мэдээллийн хувь</w:t>
            </w:r>
          </w:p>
        </w:tc>
      </w:tr>
      <w:tr>
        <w:tc>
          <w:tcPr>
            <w:tcW w:type="dxa" w:w="2835"/>
            <w:vAlign w:val="center"/>
          </w:tcPr>
          <w:p>
            <w:pPr>
              <w:jc w:val="left"/>
            </w:pPr>
            <w:r>
              <w:rPr>
                <w:rFonts w:ascii="Times New Roman" w:hAnsi="Times New Roman" w:eastAsia="Times New Roman"/>
                <w:sz w:val="20"/>
              </w:rPr>
              <w:t>Төрсөн үе</w:t>
            </w:r>
          </w:p>
        </w:tc>
        <w:tc>
          <w:tcPr>
            <w:tcW w:type="dxa" w:w="1928"/>
            <w:vAlign w:val="center"/>
          </w:tcPr>
          <w:p>
            <w:pPr>
              <w:jc w:val="center"/>
            </w:pPr>
            <w:r>
              <w:rPr>
                <w:rFonts w:ascii="Times New Roman" w:hAnsi="Times New Roman" w:eastAsia="Times New Roman"/>
                <w:sz w:val="20"/>
              </w:rPr>
              <w:t>7.29%</w:t>
            </w:r>
          </w:p>
        </w:tc>
        <w:tc>
          <w:tcPr>
            <w:tcW w:type="dxa" w:w="3969"/>
            <w:vAlign w:val="center"/>
          </w:tcPr>
          <w:p>
            <w:pPr>
              <w:jc w:val="center"/>
            </w:pPr>
            <w:r>
              <w:rPr>
                <w:rFonts w:ascii="Times New Roman" w:hAnsi="Times New Roman" w:eastAsia="Times New Roman"/>
                <w:sz w:val="20"/>
              </w:rPr>
              <w:t>Өгөөжийн ялгааг ялгахад ашиглагдсан мэдээллийн хувь</w:t>
            </w:r>
          </w:p>
        </w:tc>
      </w:tr>
      <w:tr>
        <w:tc>
          <w:tcPr>
            <w:tcW w:type="dxa" w:w="2835"/>
            <w:vAlign w:val="center"/>
          </w:tcPr>
          <w:p>
            <w:pPr>
              <w:jc w:val="left"/>
            </w:pPr>
            <w:r>
              <w:rPr>
                <w:rFonts w:ascii="Times New Roman" w:hAnsi="Times New Roman" w:eastAsia="Times New Roman"/>
                <w:sz w:val="20"/>
              </w:rPr>
              <w:t>Төрсөн аймаг</w:t>
            </w:r>
          </w:p>
        </w:tc>
        <w:tc>
          <w:tcPr>
            <w:tcW w:type="dxa" w:w="1928"/>
            <w:vAlign w:val="center"/>
          </w:tcPr>
          <w:p>
            <w:pPr>
              <w:jc w:val="center"/>
            </w:pPr>
            <w:r>
              <w:rPr>
                <w:rFonts w:ascii="Times New Roman" w:hAnsi="Times New Roman" w:eastAsia="Times New Roman"/>
                <w:sz w:val="20"/>
              </w:rPr>
              <w:t>0.00%</w:t>
            </w:r>
          </w:p>
        </w:tc>
        <w:tc>
          <w:tcPr>
            <w:tcW w:type="dxa" w:w="3969"/>
            <w:vAlign w:val="center"/>
          </w:tcPr>
          <w:p>
            <w:pPr>
              <w:jc w:val="center"/>
            </w:pPr>
            <w:r>
              <w:rPr>
                <w:rFonts w:ascii="Times New Roman" w:hAnsi="Times New Roman" w:eastAsia="Times New Roman"/>
                <w:sz w:val="20"/>
              </w:rPr>
              <w:t>Өгөөжийн ялгааг ялгахад ашиглагдсан мэдээллийн хувь</w:t>
            </w:r>
          </w:p>
        </w:tc>
      </w:tr>
    </w:tbl>
    <w:p>
      <w:pPr>
        <w:spacing w:before="40" w:after="120"/>
        <w:jc w:val="left"/>
      </w:pPr>
      <w:r>
        <w:rPr>
          <w:rFonts w:ascii="Times New Roman" w:hAnsi="Times New Roman" w:eastAsia="Times New Roman"/>
          <w:i/>
          <w:sz w:val="18"/>
        </w:rPr>
        <w:t>Эх сурвалж: Оюутны тооцоолол.</w:t>
      </w:r>
    </w:p>
    <w:p>
      <w:pPr>
        <w:spacing w:before="120" w:after="40"/>
        <w:jc w:val="left"/>
      </w:pPr>
      <w:r>
        <w:rPr>
          <w:rFonts w:ascii="Times New Roman" w:hAnsi="Times New Roman" w:eastAsia="Times New Roman"/>
          <w:b/>
          <w:i/>
          <w:sz w:val="20"/>
        </w:rPr>
        <w:t>Зураг 8. Өгөөжийн ялгааг тайлбарлах хувьсагчдын ач холбогдол</w:t>
      </w:r>
    </w:p>
    <w:p>
      <w:pPr>
        <w:spacing w:before="60" w:after="60"/>
        <w:jc w:val="center"/>
      </w:pPr>
      <w:r>
        <w:drawing>
          <wp:inline xmlns:a="http://schemas.openxmlformats.org/drawingml/2006/main" xmlns:pic="http://schemas.openxmlformats.org/drawingml/2006/picture">
            <wp:extent cx="5486400" cy="3558746"/>
            <wp:docPr id="3" name="Picture 3"/>
            <wp:cNvGraphicFramePr>
              <a:graphicFrameLocks noChangeAspect="1"/>
            </wp:cNvGraphicFramePr>
            <a:graphic>
              <a:graphicData uri="http://schemas.openxmlformats.org/drawingml/2006/picture">
                <pic:pic>
                  <pic:nvPicPr>
                    <pic:cNvPr id="0" name="instrumental_forest_variable_importance.png"/>
                    <pic:cNvPicPr/>
                  </pic:nvPicPr>
                  <pic:blipFill>
                    <a:blip r:embed="rId22"/>
                    <a:stretch>
                      <a:fillRect/>
                    </a:stretch>
                  </pic:blipFill>
                  <pic:spPr>
                    <a:xfrm>
                      <a:off x="0" y="0"/>
                      <a:ext cx="5486400" cy="3558746"/>
                    </a:xfrm>
                    <a:prstGeom prst="rect"/>
                  </pic:spPr>
                </pic:pic>
              </a:graphicData>
            </a:graphic>
          </wp:inline>
        </w:drawing>
      </w:r>
    </w:p>
    <w:p>
      <w:pPr>
        <w:spacing w:before="40" w:after="120"/>
        <w:jc w:val="left"/>
      </w:pPr>
      <w:r>
        <w:rPr>
          <w:rFonts w:ascii="Times New Roman" w:hAnsi="Times New Roman" w:eastAsia="Times New Roman"/>
          <w:i/>
          <w:sz w:val="18"/>
        </w:rPr>
        <w:t>Эх сурвалж: Оюутны тооцоолол.</w:t>
      </w:r>
    </w:p>
    <w:p>
      <w:pPr>
        <w:spacing w:line="360" w:lineRule="auto" w:before="120" w:after="120"/>
        <w:ind w:firstLine="709"/>
        <w:jc w:val="both"/>
      </w:pPr>
      <w:r>
        <w:rPr>
          <w:rFonts w:ascii="Times New Roman" w:hAnsi="Times New Roman" w:eastAsia="Times New Roman"/>
          <w:b w:val="0"/>
          <w:i w:val="0"/>
        </w:rPr>
        <w:t>Variable importance-ийн үр дүнгээр өгөөжийн ялгааг ялгахад хувийн шинжүүд 48.02 хувь, сургуулийн хүртээмж 19.23 хувь, сурагч-багшийн харьцаа 15.23 хувь, судалгааны давалгаа 10.22 хувь, төрсөн үе 7.29 хувийн харьцангуй ач холбогдолтой байна. Энэ нь сурагч-багшийн харьцаа боловсролын өгөөжийн ялгааг тайлбарлахад мэдээлэл өгч байгаа боловч ганцаараа бүх heterogeneity-г тодорхойлохгүйг харуулна. Иймээс ХХБР загварын босго үр дүнг боловсролын өгөөжийн нэг боломжит огтлол гэж үзэхийн зэрэгцээ Instrumental Forest-ийн үр дүнгээр уг ялгаа олон хэмжээст шинжтэй болохыг нэмэлтээр баталгаажуулж байна.</w:t>
      </w:r>
    </w:p>
    <w:p>
      <w:pPr>
        <w:spacing w:line="360" w:lineRule="auto" w:before="120" w:after="120"/>
        <w:ind w:firstLine="709"/>
        <w:jc w:val="both"/>
      </w:pPr>
      <w:r>
        <w:rPr>
          <w:rFonts w:ascii="Times New Roman" w:hAnsi="Times New Roman" w:eastAsia="Times New Roman"/>
          <w:b w:val="0"/>
          <w:i w:val="0"/>
        </w:rPr>
        <w:t>Нэгтгэн дүгнэвэл, Instrumental Forest-ийн нэмэлт шинжилгээ нь боловсролын өгөөжийн дундаж таамаглал үндсэн ХШХБК үнэлгээтэй ойролцоо боловч өгөөж хувь хүн, сургуулийн хүртээмж, сурагч-багшийн харьцаа, судалгааны давалгаа болон төрсөн үеийн шинжүүдээр ялгаатай тархаж болохыг харууллаа. Энэ үр дүн нь ХХБР загварын шалтгаант дүгнэлтийг орлохгүй, харин боловсролын өгөөжийн ялгаатай байдал нэг босгоос давсан олон хүчин зүйлийн нийлбэр байж болохыг дэмжсэн эрэл хайгуулын нотолгоо юм.</w:t>
      </w:r>
    </w:p>
    <w:p>
      <w:pPr>
        <w:spacing w:line="360" w:lineRule="auto" w:before="120" w:after="120"/>
        <w:jc w:val="both"/>
        <w:shd w:fill="D9EAF7"/>
      </w:pPr>
      <w:r>
        <w:rPr>
          <w:rFonts w:ascii="Times New Roman" w:hAnsi="Times New Roman" w:eastAsia="Times New Roman"/>
          <w:b/>
          <w:i w:val="0"/>
          <w:color w:val="1F4E79"/>
          <w:sz w:val="20"/>
        </w:rPr>
        <w:t>COPY ДУУСАХ</w:t>
      </w:r>
    </w:p>
    <w:p>
      <w:r>
        <w:br w:type="page"/>
      </w:r>
    </w:p>
    <w:p>
      <w:pPr>
        <w:spacing w:before="240" w:after="120"/>
        <w:jc w:val="left"/>
      </w:pPr>
      <w:r>
        <w:rPr>
          <w:rFonts w:ascii="Times New Roman" w:hAnsi="Times New Roman" w:eastAsia="Times New Roman"/>
          <w:b/>
          <w:sz w:val="28"/>
        </w:rPr>
        <w:t>БЛОК E. Дүгнэлт ба хязгаарлалтад нэмэх догол мөрүүд</w:t>
      </w:r>
    </w:p>
    <w:p>
      <w:pPr>
        <w:spacing w:line="360" w:lineRule="auto" w:before="120" w:after="120"/>
        <w:jc w:val="both"/>
        <w:shd w:fill="FFF2CC"/>
      </w:pPr>
      <w:r>
        <w:rPr>
          <w:rFonts w:ascii="Times New Roman" w:hAnsi="Times New Roman" w:eastAsia="Times New Roman"/>
          <w:b/>
          <w:i w:val="0"/>
          <w:color w:val="7A3E00"/>
          <w:sz w:val="20"/>
        </w:rPr>
        <w:t>E1 байрлал: V БҮЛЭГ -&gt; 5.1 'Үндсэн дүгнэлт' хэсэгт, одоогийн 'Гуравдугаарт...' догол мөрийн дараа нэмнэ.</w:t>
      </w:r>
    </w:p>
    <w:p>
      <w:pPr>
        <w:spacing w:line="360" w:lineRule="auto" w:before="120" w:after="120"/>
        <w:jc w:val="both"/>
        <w:shd w:fill="D9EAF7"/>
      </w:pPr>
      <w:r>
        <w:rPr>
          <w:rFonts w:ascii="Times New Roman" w:hAnsi="Times New Roman" w:eastAsia="Times New Roman"/>
          <w:b/>
          <w:i w:val="0"/>
          <w:color w:val="1F4E79"/>
          <w:sz w:val="20"/>
        </w:rPr>
        <w:t>E1 COPY ЭХЛЭХ</w:t>
      </w:r>
    </w:p>
    <w:p>
      <w:pPr>
        <w:spacing w:line="360" w:lineRule="auto" w:before="120" w:after="120"/>
        <w:ind w:firstLine="709"/>
        <w:jc w:val="both"/>
      </w:pPr>
      <w:r>
        <w:rPr>
          <w:rFonts w:ascii="Times New Roman" w:hAnsi="Times New Roman" w:eastAsia="Times New Roman"/>
          <w:b w:val="0"/>
          <w:i w:val="0"/>
        </w:rPr>
        <w:t>Дөрөвдүгээрт, Instrumental Forest-ийн нэмэлт шинжилгээгээр боловсролын local IV өгөөж дунджаар 11.35 хувь, медианаар 10.58 хувь гарч, үндсэн ХШХБК үнэлгээтэй ойролцоо байна. Гэхдээ өгөөжийн 10-90 хувийн муж 6.92-16.84 хувь байгаа нь боловсролын өгөөж нэг дундаж коэффициентээр бүрэн тайлбарлагдахгүй, хувь хүний шинж, сургуулийн хүртээмж, сурагч-багшийн харьцаа, судалгааны давалгаа болон төрсөн үеийн ялгаатай хамт илэрч болохыг харууллаа.</w:t>
      </w:r>
    </w:p>
    <w:p>
      <w:pPr>
        <w:spacing w:line="360" w:lineRule="auto" w:before="120" w:after="120"/>
        <w:jc w:val="both"/>
        <w:shd w:fill="D9EAF7"/>
      </w:pPr>
      <w:r>
        <w:rPr>
          <w:rFonts w:ascii="Times New Roman" w:hAnsi="Times New Roman" w:eastAsia="Times New Roman"/>
          <w:b/>
          <w:i w:val="0"/>
          <w:color w:val="1F4E79"/>
          <w:sz w:val="20"/>
        </w:rPr>
        <w:t>E1 COPY ДУУСАХ</w:t>
      </w:r>
    </w:p>
    <w:p>
      <w:pPr>
        <w:spacing w:line="360" w:lineRule="auto" w:before="120" w:after="120"/>
        <w:jc w:val="both"/>
        <w:shd w:fill="FFF2CC"/>
      </w:pPr>
      <w:r>
        <w:rPr>
          <w:rFonts w:ascii="Times New Roman" w:hAnsi="Times New Roman" w:eastAsia="Times New Roman"/>
          <w:b/>
          <w:i w:val="0"/>
          <w:color w:val="7A3E00"/>
          <w:sz w:val="20"/>
        </w:rPr>
        <w:t>E2 байрлал: V БҮЛЭГ -&gt; 5.3 'Судалгааны хязгаарлалт...' хэсгийн төгсгөлд, дүгнэж хэлбэл өгүүлбэрийн өмнө нэмнэ.</w:t>
      </w:r>
    </w:p>
    <w:p>
      <w:pPr>
        <w:spacing w:line="360" w:lineRule="auto" w:before="120" w:after="120"/>
        <w:jc w:val="both"/>
        <w:shd w:fill="D9EAF7"/>
      </w:pPr>
      <w:r>
        <w:rPr>
          <w:rFonts w:ascii="Times New Roman" w:hAnsi="Times New Roman" w:eastAsia="Times New Roman"/>
          <w:b/>
          <w:i w:val="0"/>
          <w:color w:val="1F4E79"/>
          <w:sz w:val="20"/>
        </w:rPr>
        <w:t>E2 COPY ЭХЛЭХ</w:t>
      </w:r>
    </w:p>
    <w:p>
      <w:pPr>
        <w:spacing w:line="360" w:lineRule="auto" w:before="120" w:after="120"/>
        <w:ind w:firstLine="709"/>
        <w:jc w:val="both"/>
      </w:pPr>
      <w:r>
        <w:rPr>
          <w:rFonts w:ascii="Times New Roman" w:hAnsi="Times New Roman" w:eastAsia="Times New Roman"/>
          <w:b w:val="0"/>
          <w:i w:val="0"/>
        </w:rPr>
        <w:t>Дөрөвдүгээрт, Instrumental Forest-ийн үр дүнг статистикийн уламжлалт нэг p-утгатай баталгаа гэж тайлбарлахгүй. Уг арга нь өгөөжийн ялгаатай байдлыг өгөгдөлд суурилсан хэлбэрээр зураглах нэмэлт machine learning шинжилгээ бөгөөд эцэг, эхийн боловсролын дундаж хэрэгсэл хувьсагчийн хязгаарлалтын таамаглал хэвээр хадгалагдана. Иймээс Instrumental Forest-ийн үр дүнг үндсэн ХХБР-ийн шалтгаант тайлбарыг орлох бус, боловсролын өгөөжийн heterogeneity олон хэмжээст шинжтэй байж болохыг дэмжсэн exploratory evidence гэж ашиглана.</w:t>
      </w:r>
    </w:p>
    <w:p>
      <w:pPr>
        <w:spacing w:line="360" w:lineRule="auto" w:before="120" w:after="120"/>
        <w:jc w:val="both"/>
        <w:shd w:fill="D9EAF7"/>
      </w:pPr>
      <w:r>
        <w:rPr>
          <w:rFonts w:ascii="Times New Roman" w:hAnsi="Times New Roman" w:eastAsia="Times New Roman"/>
          <w:b/>
          <w:i w:val="0"/>
          <w:color w:val="1F4E79"/>
          <w:sz w:val="20"/>
        </w:rPr>
        <w:t>E2 COPY ДУУСАХ</w:t>
      </w:r>
    </w:p>
    <w:p>
      <w:r>
        <w:br w:type="page"/>
      </w:r>
    </w:p>
    <w:p>
      <w:pPr>
        <w:spacing w:before="240" w:after="120"/>
        <w:jc w:val="left"/>
      </w:pPr>
      <w:r>
        <w:rPr>
          <w:rFonts w:ascii="Times New Roman" w:hAnsi="Times New Roman" w:eastAsia="Times New Roman"/>
          <w:b/>
          <w:sz w:val="28"/>
        </w:rPr>
        <w:t>БЛОК F. Ном зүйд нэмэх эх сурвалж</w:t>
      </w:r>
    </w:p>
    <w:p>
      <w:pPr>
        <w:spacing w:line="360" w:lineRule="auto" w:before="120" w:after="120"/>
        <w:jc w:val="both"/>
        <w:shd w:fill="FFF2CC"/>
      </w:pPr>
      <w:r>
        <w:rPr>
          <w:rFonts w:ascii="Times New Roman" w:hAnsi="Times New Roman" w:eastAsia="Times New Roman"/>
          <w:b/>
          <w:i w:val="0"/>
          <w:color w:val="7A3E00"/>
          <w:sz w:val="20"/>
        </w:rPr>
        <w:t>Оруулах байрлал: НОМ ЗҮЙ хэсгийн төгсгөлд, одоогийн эх сурвалжуудын дараа paste хийнэ. Дугаарлалтыг үндсэн ном зүйн дарааллаар үргэлжлүүлж болно.</w:t>
      </w:r>
    </w:p>
    <w:p>
      <w:pPr>
        <w:spacing w:line="360" w:lineRule="auto" w:before="120" w:after="120"/>
        <w:jc w:val="both"/>
        <w:shd w:fill="D9EAF7"/>
      </w:pPr>
      <w:r>
        <w:rPr>
          <w:rFonts w:ascii="Times New Roman" w:hAnsi="Times New Roman" w:eastAsia="Times New Roman"/>
          <w:b/>
          <w:i w:val="0"/>
          <w:color w:val="1F4E79"/>
          <w:sz w:val="20"/>
        </w:rPr>
        <w:t>COPY ЭХЛЭХ</w:t>
      </w:r>
    </w:p>
    <w:p>
      <w:pPr>
        <w:spacing w:line="360" w:lineRule="auto" w:before="120" w:after="120"/>
        <w:jc w:val="both"/>
      </w:pPr>
      <w:r>
        <w:rPr>
          <w:rFonts w:ascii="Times New Roman" w:hAnsi="Times New Roman" w:eastAsia="Times New Roman"/>
          <w:b w:val="0"/>
          <w:i w:val="0"/>
        </w:rPr>
        <w:t>Athey, S., Tibshirani, J., &amp; Wager, S. (2019). Generalized random forests. Annals of Statistics, 47(2), 1148-1178.</w:t>
      </w:r>
    </w:p>
    <w:p>
      <w:pPr>
        <w:spacing w:line="360" w:lineRule="auto" w:before="120" w:after="120"/>
        <w:jc w:val="both"/>
      </w:pPr>
      <w:r>
        <w:rPr>
          <w:rFonts w:ascii="Times New Roman" w:hAnsi="Times New Roman" w:eastAsia="Times New Roman"/>
          <w:b w:val="0"/>
          <w:i w:val="0"/>
        </w:rPr>
        <w:t>Chernozhukov, V., Chetverikov, D., Demirer, M., Duflo, E., Hansen, C., Newey, W., &amp; Robins, J. (2018). Double/debiased machine learning for treatment and structural parameters. Econometrics Journal, 21(1), C1-C68.</w:t>
      </w:r>
    </w:p>
    <w:p>
      <w:pPr>
        <w:spacing w:line="360" w:lineRule="auto" w:before="120" w:after="120"/>
        <w:jc w:val="both"/>
      </w:pPr>
      <w:r>
        <w:rPr>
          <w:rFonts w:ascii="Times New Roman" w:hAnsi="Times New Roman" w:eastAsia="Times New Roman"/>
          <w:b w:val="0"/>
          <w:i w:val="0"/>
        </w:rPr>
        <w:t>Tibshirani, J., Athey, S., Friedberg, R., Hadad, V., Hirshberg, D., Miner, L., Sverdrup, E., Wager, S., Wright, M., &amp; grf contributors. (2024). grf: Generalized Random Forests. R package.</w:t>
      </w:r>
    </w:p>
    <w:p>
      <w:pPr>
        <w:spacing w:line="360" w:lineRule="auto" w:before="120" w:after="120"/>
        <w:jc w:val="both"/>
        <w:shd w:fill="D9EAF7"/>
      </w:pPr>
      <w:r>
        <w:rPr>
          <w:rFonts w:ascii="Times New Roman" w:hAnsi="Times New Roman" w:eastAsia="Times New Roman"/>
          <w:b/>
          <w:i w:val="0"/>
          <w:color w:val="1F4E79"/>
          <w:sz w:val="20"/>
        </w:rPr>
        <w:t>COPY ДУУСАХ</w:t>
      </w:r>
    </w:p>
    <w:p>
      <w:r>
        <w:br w:type="page"/>
      </w:r>
    </w:p>
    <w:p>
      <w:pPr>
        <w:spacing w:before="240" w:after="120"/>
        <w:jc w:val="left"/>
      </w:pPr>
      <w:r>
        <w:rPr>
          <w:rFonts w:ascii="Times New Roman" w:hAnsi="Times New Roman" w:eastAsia="Times New Roman"/>
          <w:b/>
          <w:sz w:val="28"/>
        </w:rPr>
        <w:t>БЛОК G. Хавсралтад нэмэх кодын тайлбар</w:t>
      </w:r>
    </w:p>
    <w:p>
      <w:pPr>
        <w:spacing w:line="360" w:lineRule="auto" w:before="120" w:after="120"/>
        <w:jc w:val="both"/>
        <w:shd w:fill="FFF2CC"/>
      </w:pPr>
      <w:r>
        <w:rPr>
          <w:rFonts w:ascii="Times New Roman" w:hAnsi="Times New Roman" w:eastAsia="Times New Roman"/>
          <w:b/>
          <w:i w:val="0"/>
          <w:color w:val="7A3E00"/>
          <w:sz w:val="20"/>
        </w:rPr>
        <w:t>Оруулах байрлал: ХАВСРАЛТ -&gt; Хавсралт В. Программ хангамжийн код хэсгийн дараа paste хийнэ.</w:t>
      </w:r>
    </w:p>
    <w:p>
      <w:pPr>
        <w:spacing w:line="360" w:lineRule="auto" w:before="120" w:after="120"/>
        <w:jc w:val="both"/>
        <w:shd w:fill="D9EAF7"/>
      </w:pPr>
      <w:r>
        <w:rPr>
          <w:rFonts w:ascii="Times New Roman" w:hAnsi="Times New Roman" w:eastAsia="Times New Roman"/>
          <w:b/>
          <w:i w:val="0"/>
          <w:color w:val="1F4E79"/>
          <w:sz w:val="20"/>
        </w:rPr>
        <w:t>COPY ЭХЛЭХ</w:t>
      </w:r>
    </w:p>
    <w:p>
      <w:pPr>
        <w:spacing w:before="240" w:after="120"/>
        <w:jc w:val="left"/>
      </w:pPr>
      <w:r>
        <w:rPr>
          <w:rFonts w:ascii="Times New Roman" w:hAnsi="Times New Roman" w:eastAsia="Times New Roman"/>
          <w:b/>
          <w:sz w:val="24"/>
        </w:rPr>
        <w:t>Хавсралт Г. Instrumental Forest нэмэлт шинжилгээний код ба гаралт</w:t>
      </w:r>
    </w:p>
    <w:p>
      <w:pPr>
        <w:spacing w:line="360" w:lineRule="auto" w:before="120" w:after="120"/>
        <w:ind w:firstLine="709"/>
        <w:jc w:val="both"/>
      </w:pPr>
      <w:r>
        <w:rPr>
          <w:rFonts w:ascii="Times New Roman" w:hAnsi="Times New Roman" w:eastAsia="Times New Roman"/>
          <w:b w:val="0"/>
          <w:i w:val="0"/>
        </w:rPr>
        <w:t>Instrumental Forest нэмэлт шинжилгээг R/31_instrumental_forest.R script-ээр гүйцэтгэв. Уг script нь эцсийн ХХБР түүвэр болох data/processed/ivtr_ready_parent_educ_mean_student_teacher_avg_17_18.rds файлыг уншиж, grf багцын instrumental_forest функцээр боловсролын local IV өгөөжийг тооцсон. Үр дүнгийн хүснэгтүүд output/tables хавтаст, зургууд output/figures хавтаст хадгалагдсан.</w:t>
      </w:r>
    </w:p>
    <w:p>
      <w:pPr>
        <w:spacing w:line="360" w:lineRule="auto" w:before="120" w:after="120"/>
        <w:jc w:val="both"/>
      </w:pPr>
      <w:r>
        <w:rPr>
          <w:rFonts w:ascii="Times New Roman" w:hAnsi="Times New Roman" w:eastAsia="Times New Roman"/>
          <w:b w:val="0"/>
          <w:i w:val="0"/>
        </w:rPr>
        <w:t>Давтан ажиллуулах команд: $env:GRF_TREES='2000'; $env:GRF_THREADS='3'; Rscript R/31_instrumental_forest.R</w:t>
      </w:r>
    </w:p>
    <w:p>
      <w:pPr>
        <w:spacing w:line="360" w:lineRule="auto" w:before="120" w:after="120"/>
        <w:ind w:firstLine="709"/>
        <w:jc w:val="both"/>
      </w:pPr>
      <w:r>
        <w:rPr>
          <w:rFonts w:ascii="Times New Roman" w:hAnsi="Times New Roman" w:eastAsia="Times New Roman"/>
          <w:b w:val="0"/>
          <w:i w:val="0"/>
        </w:rPr>
        <w:t>Гол гаралтын файлууд: T16_instrumental_forest_summary.csv, T16_instrumental_forest_tau_quartiles.csv, T16_instrumental_forest_threshold_regimes.csv, T16_instrumental_forest_variable_importance.csv, instrumental_forest_tau_distribution.png, instrumental_forest_tau_by_student_teacher_ratio.png, instrumental_forest_variable_importance.png.</w:t>
      </w:r>
    </w:p>
    <w:p>
      <w:pPr>
        <w:spacing w:line="360" w:lineRule="auto" w:before="120" w:after="120"/>
        <w:jc w:val="both"/>
        <w:shd w:fill="D9EAF7"/>
      </w:pPr>
      <w:r>
        <w:rPr>
          <w:rFonts w:ascii="Times New Roman" w:hAnsi="Times New Roman" w:eastAsia="Times New Roman"/>
          <w:b/>
          <w:i w:val="0"/>
          <w:color w:val="1F4E79"/>
          <w:sz w:val="20"/>
        </w:rPr>
        <w:t>COPY ДУУСАХ</w:t>
      </w:r>
    </w:p>
    <w:sectPr w:rsidR="000B782D" w:rsidSect="007C39BB">
      <w:footerReference w:type="default" r:id="rId17"/>
      <w:pgSz w:w="11906" w:h="16838"/>
      <w:pgMar w:top="1417"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226586" w14:textId="77777777" w:rsidR="002444D7" w:rsidRDefault="002444D7">
      <w:pPr>
        <w:spacing w:before="0" w:after="0" w:line="240" w:lineRule="auto"/>
      </w:pPr>
      <w:r>
        <w:separator/>
      </w:r>
    </w:p>
  </w:endnote>
  <w:endnote w:type="continuationSeparator" w:id="0">
    <w:p w14:paraId="4E041C47" w14:textId="77777777" w:rsidR="002444D7" w:rsidRDefault="002444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A1751" w14:textId="77777777" w:rsidR="00A164F1" w:rsidRDefault="004046B2">
    <w:pPr>
      <w:jc w:val="right"/>
    </w:pPr>
    <w:r>
      <w:rPr>
        <w:sz w:val="22"/>
        <w:szCs w:val="22"/>
      </w:rPr>
      <w:fldChar w:fldCharType="begin"/>
    </w:r>
    <w:r>
      <w:rPr>
        <w:sz w:val="22"/>
        <w:szCs w:val="22"/>
      </w:rPr>
      <w:instrText>PAGE</w:instrText>
    </w:r>
    <w:r>
      <w:rPr>
        <w:sz w:val="22"/>
        <w:szCs w:val="22"/>
      </w:rPr>
      <w:fldChar w:fldCharType="separate"/>
    </w:r>
    <w:r w:rsidR="00E876C1">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17579" w14:textId="77777777" w:rsidR="002444D7" w:rsidRDefault="002444D7">
      <w:pPr>
        <w:spacing w:before="0" w:after="0" w:line="240" w:lineRule="auto"/>
      </w:pPr>
      <w:r>
        <w:separator/>
      </w:r>
    </w:p>
  </w:footnote>
  <w:footnote w:type="continuationSeparator" w:id="0">
    <w:p w14:paraId="4C614972" w14:textId="77777777" w:rsidR="002444D7" w:rsidRDefault="002444D7">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F119F"/>
    <w:multiLevelType w:val="hybridMultilevel"/>
    <w:tmpl w:val="D78216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B46FDE"/>
    <w:multiLevelType w:val="hybridMultilevel"/>
    <w:tmpl w:val="F0429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04C26"/>
    <w:multiLevelType w:val="hybridMultilevel"/>
    <w:tmpl w:val="9C82C04C"/>
    <w:lvl w:ilvl="0" w:tplc="04090001">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95E8A"/>
    <w:multiLevelType w:val="hybridMultilevel"/>
    <w:tmpl w:val="E3DACD2A"/>
    <w:lvl w:ilvl="0" w:tplc="FFFFFFFF">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b/>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3C571EAB"/>
    <w:multiLevelType w:val="hybridMultilevel"/>
    <w:tmpl w:val="E3DACD2A"/>
    <w:lvl w:ilvl="0" w:tplc="0409000F">
      <w:start w:val="1"/>
      <w:numFmt w:val="decimal"/>
      <w:lvlText w:val="%1."/>
      <w:lvlJc w:val="left"/>
      <w:pPr>
        <w:ind w:left="360" w:hanging="360"/>
      </w:pPr>
      <w:rPr>
        <w:rFonts w:hint="default"/>
      </w:rPr>
    </w:lvl>
    <w:lvl w:ilvl="1" w:tplc="3A1CBE88">
      <w:start w:val="1"/>
      <w:numFmt w:val="decimal"/>
      <w:lvlText w:val="%2."/>
      <w:lvlJc w:val="left"/>
      <w:pPr>
        <w:ind w:left="1080" w:hanging="360"/>
      </w:pPr>
      <w:rPr>
        <w:rFonts w:hint="default"/>
        <w:b/>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59CD4C8F"/>
    <w:multiLevelType w:val="hybridMultilevel"/>
    <w:tmpl w:val="88C0954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A303A72"/>
    <w:multiLevelType w:val="hybridMultilevel"/>
    <w:tmpl w:val="AB6E49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556FD2"/>
    <w:multiLevelType w:val="hybridMultilevel"/>
    <w:tmpl w:val="3DAC7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DB45717"/>
    <w:multiLevelType w:val="hybridMultilevel"/>
    <w:tmpl w:val="99DAC8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772A5CFC"/>
    <w:multiLevelType w:val="hybridMultilevel"/>
    <w:tmpl w:val="053063C2"/>
    <w:lvl w:ilvl="0" w:tplc="65C2538E">
      <w:start w:val="1"/>
      <w:numFmt w:val="bullet"/>
      <w:lvlText w:val="●"/>
      <w:lvlJc w:val="left"/>
      <w:pPr>
        <w:ind w:left="720" w:hanging="360"/>
      </w:pPr>
    </w:lvl>
    <w:lvl w:ilvl="1" w:tplc="CA3C0772">
      <w:start w:val="1"/>
      <w:numFmt w:val="bullet"/>
      <w:lvlText w:val="○"/>
      <w:lvlJc w:val="left"/>
      <w:pPr>
        <w:ind w:left="1440" w:hanging="360"/>
      </w:pPr>
    </w:lvl>
    <w:lvl w:ilvl="2" w:tplc="00B6B968">
      <w:start w:val="1"/>
      <w:numFmt w:val="bullet"/>
      <w:lvlText w:val="■"/>
      <w:lvlJc w:val="left"/>
      <w:pPr>
        <w:ind w:left="2160" w:hanging="360"/>
      </w:pPr>
    </w:lvl>
    <w:lvl w:ilvl="3" w:tplc="74C62D32">
      <w:start w:val="1"/>
      <w:numFmt w:val="bullet"/>
      <w:lvlText w:val="●"/>
      <w:lvlJc w:val="left"/>
      <w:pPr>
        <w:ind w:left="2880" w:hanging="360"/>
      </w:pPr>
    </w:lvl>
    <w:lvl w:ilvl="4" w:tplc="33826570">
      <w:start w:val="1"/>
      <w:numFmt w:val="bullet"/>
      <w:lvlText w:val="○"/>
      <w:lvlJc w:val="left"/>
      <w:pPr>
        <w:ind w:left="3600" w:hanging="360"/>
      </w:pPr>
    </w:lvl>
    <w:lvl w:ilvl="5" w:tplc="E77AD9A8">
      <w:start w:val="1"/>
      <w:numFmt w:val="bullet"/>
      <w:lvlText w:val="■"/>
      <w:lvlJc w:val="left"/>
      <w:pPr>
        <w:ind w:left="4320" w:hanging="360"/>
      </w:pPr>
    </w:lvl>
    <w:lvl w:ilvl="6" w:tplc="C3A08028">
      <w:start w:val="1"/>
      <w:numFmt w:val="bullet"/>
      <w:lvlText w:val="●"/>
      <w:lvlJc w:val="left"/>
      <w:pPr>
        <w:ind w:left="5040" w:hanging="360"/>
      </w:pPr>
    </w:lvl>
    <w:lvl w:ilvl="7" w:tplc="276CE4A6">
      <w:start w:val="1"/>
      <w:numFmt w:val="bullet"/>
      <w:lvlText w:val="●"/>
      <w:lvlJc w:val="left"/>
      <w:pPr>
        <w:ind w:left="5760" w:hanging="360"/>
      </w:pPr>
    </w:lvl>
    <w:lvl w:ilvl="8" w:tplc="3A5894B2">
      <w:start w:val="1"/>
      <w:numFmt w:val="bullet"/>
      <w:lvlText w:val="●"/>
      <w:lvlJc w:val="left"/>
      <w:pPr>
        <w:ind w:left="6480" w:hanging="360"/>
      </w:pPr>
    </w:lvl>
  </w:abstractNum>
  <w:num w:numId="1">
    <w:abstractNumId w:val="9"/>
    <w:lvlOverride w:ilvl="0">
      <w:startOverride w:val="1"/>
    </w:lvlOverride>
  </w:num>
  <w:num w:numId="2">
    <w:abstractNumId w:val="6"/>
  </w:num>
  <w:num w:numId="3">
    <w:abstractNumId w:val="4"/>
  </w:num>
  <w:num w:numId="4">
    <w:abstractNumId w:val="5"/>
  </w:num>
  <w:num w:numId="5">
    <w:abstractNumId w:val="3"/>
  </w:num>
  <w:num w:numId="6">
    <w:abstractNumId w:val="1"/>
  </w:num>
  <w:num w:numId="7">
    <w:abstractNumId w:val="2"/>
  </w:num>
  <w:num w:numId="8">
    <w:abstractNumId w:val="7"/>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64F1"/>
    <w:rsid w:val="000067B4"/>
    <w:rsid w:val="00020E13"/>
    <w:rsid w:val="0002576D"/>
    <w:rsid w:val="000353AD"/>
    <w:rsid w:val="00051FB4"/>
    <w:rsid w:val="00067E30"/>
    <w:rsid w:val="0007112C"/>
    <w:rsid w:val="000729F3"/>
    <w:rsid w:val="00084C4D"/>
    <w:rsid w:val="000965C6"/>
    <w:rsid w:val="000A4506"/>
    <w:rsid w:val="000A6EA8"/>
    <w:rsid w:val="000B782D"/>
    <w:rsid w:val="000D38E0"/>
    <w:rsid w:val="000E54D8"/>
    <w:rsid w:val="000E6DB7"/>
    <w:rsid w:val="000F5AB3"/>
    <w:rsid w:val="000F6BD2"/>
    <w:rsid w:val="000F6CAC"/>
    <w:rsid w:val="00101F09"/>
    <w:rsid w:val="0010315C"/>
    <w:rsid w:val="00104F5D"/>
    <w:rsid w:val="00116EC6"/>
    <w:rsid w:val="00123483"/>
    <w:rsid w:val="00130B8B"/>
    <w:rsid w:val="00177D88"/>
    <w:rsid w:val="001805A0"/>
    <w:rsid w:val="0018275F"/>
    <w:rsid w:val="001A17C5"/>
    <w:rsid w:val="001A31B4"/>
    <w:rsid w:val="001C6AC4"/>
    <w:rsid w:val="001D577E"/>
    <w:rsid w:val="001D595D"/>
    <w:rsid w:val="0020015E"/>
    <w:rsid w:val="00204DEC"/>
    <w:rsid w:val="00220885"/>
    <w:rsid w:val="0023054A"/>
    <w:rsid w:val="00237314"/>
    <w:rsid w:val="002444D7"/>
    <w:rsid w:val="00250940"/>
    <w:rsid w:val="00252927"/>
    <w:rsid w:val="002544EC"/>
    <w:rsid w:val="00283DB1"/>
    <w:rsid w:val="00290B65"/>
    <w:rsid w:val="00291913"/>
    <w:rsid w:val="002B0B63"/>
    <w:rsid w:val="002B5DDF"/>
    <w:rsid w:val="002D4C7F"/>
    <w:rsid w:val="00310661"/>
    <w:rsid w:val="00310C2B"/>
    <w:rsid w:val="00313831"/>
    <w:rsid w:val="00314212"/>
    <w:rsid w:val="0032381D"/>
    <w:rsid w:val="00331E09"/>
    <w:rsid w:val="00347DBE"/>
    <w:rsid w:val="0035136A"/>
    <w:rsid w:val="00351C11"/>
    <w:rsid w:val="00371247"/>
    <w:rsid w:val="00380D5F"/>
    <w:rsid w:val="0039075A"/>
    <w:rsid w:val="003B47C0"/>
    <w:rsid w:val="003D6260"/>
    <w:rsid w:val="003F39DF"/>
    <w:rsid w:val="003F5411"/>
    <w:rsid w:val="004046B2"/>
    <w:rsid w:val="00410B5E"/>
    <w:rsid w:val="00410DBB"/>
    <w:rsid w:val="00433242"/>
    <w:rsid w:val="00435F85"/>
    <w:rsid w:val="004441DB"/>
    <w:rsid w:val="00450B4D"/>
    <w:rsid w:val="004A4ACF"/>
    <w:rsid w:val="004B656A"/>
    <w:rsid w:val="004B696A"/>
    <w:rsid w:val="004C4424"/>
    <w:rsid w:val="004E014E"/>
    <w:rsid w:val="004E0939"/>
    <w:rsid w:val="004E67D0"/>
    <w:rsid w:val="0050713E"/>
    <w:rsid w:val="005208D4"/>
    <w:rsid w:val="0052246A"/>
    <w:rsid w:val="00537C18"/>
    <w:rsid w:val="00542396"/>
    <w:rsid w:val="00546519"/>
    <w:rsid w:val="00576733"/>
    <w:rsid w:val="0059589D"/>
    <w:rsid w:val="005960B0"/>
    <w:rsid w:val="005977D3"/>
    <w:rsid w:val="005A56F0"/>
    <w:rsid w:val="005B34B9"/>
    <w:rsid w:val="005C4492"/>
    <w:rsid w:val="005C4FCF"/>
    <w:rsid w:val="005C6FBF"/>
    <w:rsid w:val="005D0264"/>
    <w:rsid w:val="005E6234"/>
    <w:rsid w:val="00606A86"/>
    <w:rsid w:val="006129C3"/>
    <w:rsid w:val="006213B7"/>
    <w:rsid w:val="00621763"/>
    <w:rsid w:val="0066162A"/>
    <w:rsid w:val="00670315"/>
    <w:rsid w:val="00676BCB"/>
    <w:rsid w:val="0069107D"/>
    <w:rsid w:val="0069692C"/>
    <w:rsid w:val="00696DCE"/>
    <w:rsid w:val="006B17CE"/>
    <w:rsid w:val="006B356C"/>
    <w:rsid w:val="006B57EB"/>
    <w:rsid w:val="006D0D02"/>
    <w:rsid w:val="006D134C"/>
    <w:rsid w:val="006D4193"/>
    <w:rsid w:val="006E685E"/>
    <w:rsid w:val="006F1256"/>
    <w:rsid w:val="006F29DD"/>
    <w:rsid w:val="00722810"/>
    <w:rsid w:val="00734A3F"/>
    <w:rsid w:val="00742CC5"/>
    <w:rsid w:val="00747EDD"/>
    <w:rsid w:val="00787F90"/>
    <w:rsid w:val="007A170A"/>
    <w:rsid w:val="007A4568"/>
    <w:rsid w:val="007A5C3A"/>
    <w:rsid w:val="007B68F4"/>
    <w:rsid w:val="007C39BB"/>
    <w:rsid w:val="007C5A42"/>
    <w:rsid w:val="007D1400"/>
    <w:rsid w:val="007D69B8"/>
    <w:rsid w:val="007E0020"/>
    <w:rsid w:val="007E1ED2"/>
    <w:rsid w:val="007E7EFE"/>
    <w:rsid w:val="007F0720"/>
    <w:rsid w:val="007F5304"/>
    <w:rsid w:val="00800EC6"/>
    <w:rsid w:val="008031FF"/>
    <w:rsid w:val="00812AD3"/>
    <w:rsid w:val="00813FEA"/>
    <w:rsid w:val="008374B7"/>
    <w:rsid w:val="0087317C"/>
    <w:rsid w:val="00892842"/>
    <w:rsid w:val="00893FAD"/>
    <w:rsid w:val="008A5784"/>
    <w:rsid w:val="008C619F"/>
    <w:rsid w:val="008E0B5A"/>
    <w:rsid w:val="008E7335"/>
    <w:rsid w:val="008F2F6E"/>
    <w:rsid w:val="008F4D63"/>
    <w:rsid w:val="008F550E"/>
    <w:rsid w:val="008F6ED2"/>
    <w:rsid w:val="00902899"/>
    <w:rsid w:val="00911219"/>
    <w:rsid w:val="00911C15"/>
    <w:rsid w:val="00911E86"/>
    <w:rsid w:val="0093314F"/>
    <w:rsid w:val="00936BF6"/>
    <w:rsid w:val="00963545"/>
    <w:rsid w:val="00972FBE"/>
    <w:rsid w:val="009917A1"/>
    <w:rsid w:val="009A698C"/>
    <w:rsid w:val="009C02AC"/>
    <w:rsid w:val="009C068F"/>
    <w:rsid w:val="009F147F"/>
    <w:rsid w:val="00A15189"/>
    <w:rsid w:val="00A164F1"/>
    <w:rsid w:val="00A1751C"/>
    <w:rsid w:val="00A23FB6"/>
    <w:rsid w:val="00A31AF0"/>
    <w:rsid w:val="00A34CF9"/>
    <w:rsid w:val="00A36C06"/>
    <w:rsid w:val="00A4012E"/>
    <w:rsid w:val="00A64747"/>
    <w:rsid w:val="00A70DC6"/>
    <w:rsid w:val="00A75B8A"/>
    <w:rsid w:val="00A8148F"/>
    <w:rsid w:val="00A90D3C"/>
    <w:rsid w:val="00A9626B"/>
    <w:rsid w:val="00AA2988"/>
    <w:rsid w:val="00AA3C03"/>
    <w:rsid w:val="00AC5E63"/>
    <w:rsid w:val="00AC6CF5"/>
    <w:rsid w:val="00AC757F"/>
    <w:rsid w:val="00AE1FFF"/>
    <w:rsid w:val="00AF2391"/>
    <w:rsid w:val="00B02C1D"/>
    <w:rsid w:val="00B34C99"/>
    <w:rsid w:val="00B3745D"/>
    <w:rsid w:val="00B536FF"/>
    <w:rsid w:val="00B53AF5"/>
    <w:rsid w:val="00B555D0"/>
    <w:rsid w:val="00B647ED"/>
    <w:rsid w:val="00B766C3"/>
    <w:rsid w:val="00BC466C"/>
    <w:rsid w:val="00BC4E2E"/>
    <w:rsid w:val="00BC6A8D"/>
    <w:rsid w:val="00BC7B85"/>
    <w:rsid w:val="00BD122E"/>
    <w:rsid w:val="00BE47A5"/>
    <w:rsid w:val="00BF10C6"/>
    <w:rsid w:val="00BF5363"/>
    <w:rsid w:val="00BF54A5"/>
    <w:rsid w:val="00C10FBB"/>
    <w:rsid w:val="00C12466"/>
    <w:rsid w:val="00C275DC"/>
    <w:rsid w:val="00C3002F"/>
    <w:rsid w:val="00C30878"/>
    <w:rsid w:val="00C36931"/>
    <w:rsid w:val="00C42F18"/>
    <w:rsid w:val="00C503B6"/>
    <w:rsid w:val="00C540D8"/>
    <w:rsid w:val="00C56A70"/>
    <w:rsid w:val="00C64C1A"/>
    <w:rsid w:val="00C71480"/>
    <w:rsid w:val="00C71825"/>
    <w:rsid w:val="00C76A45"/>
    <w:rsid w:val="00C84E68"/>
    <w:rsid w:val="00C92869"/>
    <w:rsid w:val="00C95472"/>
    <w:rsid w:val="00CA496E"/>
    <w:rsid w:val="00CB730E"/>
    <w:rsid w:val="00CC4895"/>
    <w:rsid w:val="00CC76F9"/>
    <w:rsid w:val="00CD4A62"/>
    <w:rsid w:val="00CE6511"/>
    <w:rsid w:val="00CF1664"/>
    <w:rsid w:val="00D220D3"/>
    <w:rsid w:val="00D26FAD"/>
    <w:rsid w:val="00D33DC4"/>
    <w:rsid w:val="00D34D52"/>
    <w:rsid w:val="00D55A33"/>
    <w:rsid w:val="00D623D5"/>
    <w:rsid w:val="00D63558"/>
    <w:rsid w:val="00D6491D"/>
    <w:rsid w:val="00D703A4"/>
    <w:rsid w:val="00D71C5B"/>
    <w:rsid w:val="00D72420"/>
    <w:rsid w:val="00D740DF"/>
    <w:rsid w:val="00D864C7"/>
    <w:rsid w:val="00D90AD5"/>
    <w:rsid w:val="00D93376"/>
    <w:rsid w:val="00D977E5"/>
    <w:rsid w:val="00DA43DD"/>
    <w:rsid w:val="00DA6672"/>
    <w:rsid w:val="00DE0525"/>
    <w:rsid w:val="00DE6F99"/>
    <w:rsid w:val="00E01107"/>
    <w:rsid w:val="00E05293"/>
    <w:rsid w:val="00E11C2D"/>
    <w:rsid w:val="00E1346E"/>
    <w:rsid w:val="00E20CE7"/>
    <w:rsid w:val="00E46ED0"/>
    <w:rsid w:val="00E53DE2"/>
    <w:rsid w:val="00E56848"/>
    <w:rsid w:val="00E80809"/>
    <w:rsid w:val="00E876C1"/>
    <w:rsid w:val="00E9438F"/>
    <w:rsid w:val="00E9571D"/>
    <w:rsid w:val="00EA073D"/>
    <w:rsid w:val="00EA2C05"/>
    <w:rsid w:val="00EA66A7"/>
    <w:rsid w:val="00EC0030"/>
    <w:rsid w:val="00EC0EBE"/>
    <w:rsid w:val="00EE128B"/>
    <w:rsid w:val="00EF03F5"/>
    <w:rsid w:val="00F00322"/>
    <w:rsid w:val="00F26876"/>
    <w:rsid w:val="00F27899"/>
    <w:rsid w:val="00F40199"/>
    <w:rsid w:val="00F44A9E"/>
    <w:rsid w:val="00F55CE6"/>
    <w:rsid w:val="00F661F4"/>
    <w:rsid w:val="00F67C0E"/>
    <w:rsid w:val="00F709CB"/>
    <w:rsid w:val="00F72B1E"/>
    <w:rsid w:val="00F72C68"/>
    <w:rsid w:val="00F80E04"/>
    <w:rsid w:val="00F821C1"/>
    <w:rsid w:val="00F84E3D"/>
    <w:rsid w:val="00F86F67"/>
    <w:rsid w:val="00FC58BA"/>
    <w:rsid w:val="00FC7895"/>
    <w:rsid w:val="00FD6915"/>
    <w:rsid w:val="00FF28CF"/>
    <w:rsid w:val="00FF6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13E34"/>
  <w15:docId w15:val="{C95FDE95-0A25-435D-B3F3-5154FBA56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before="120" w:after="120"/>
      <w:jc w:val="both"/>
    </w:pPr>
    <w:rPr>
      <w:rFonts w:ascii="Times New Roman" w:hAnsi="Times New Roman" w:eastAsia="Times New Roman"/>
      <w:sz w:val="24"/>
    </w:rPr>
  </w:style>
  <w:style w:type="paragraph" w:styleId="Heading1">
    <w:name w:val="heading 1"/>
    <w:link w:val="Heading1Char"/>
    <w:uiPriority w:val="9"/>
    <w:qFormat/>
    <w:rsid w:val="0032381D"/>
    <w:pPr>
      <w:spacing w:before="360" w:after="200"/>
      <w:outlineLvl w:val="0"/>
    </w:pPr>
    <w:rPr>
      <w:b/>
      <w:bCs/>
      <w:szCs w:val="32"/>
    </w:rPr>
  </w:style>
  <w:style w:type="paragraph" w:styleId="Heading2">
    <w:name w:val="heading 2"/>
    <w:uiPriority w:val="9"/>
    <w:unhideWhenUsed/>
    <w:qFormat/>
    <w:rsid w:val="008031FF"/>
    <w:pPr>
      <w:spacing w:before="240" w:after="140"/>
      <w:outlineLvl w:val="1"/>
    </w:pPr>
    <w:rPr>
      <w:b/>
      <w:bCs/>
      <w:szCs w:val="28"/>
    </w:rPr>
  </w:style>
  <w:style w:type="paragraph" w:styleId="Heading3">
    <w:name w:val="heading 3"/>
    <w:uiPriority w:val="9"/>
    <w:unhideWhenUsed/>
    <w:qFormat/>
    <w:pPr>
      <w:spacing w:before="200"/>
      <w:outlineLvl w:val="2"/>
    </w:pPr>
    <w:rPr>
      <w:b/>
      <w:bCs/>
      <w:i/>
      <w:i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876C1"/>
    <w:pPr>
      <w:spacing w:after="100"/>
    </w:pPr>
  </w:style>
  <w:style w:type="paragraph" w:styleId="TOC2">
    <w:name w:val="toc 2"/>
    <w:basedOn w:val="Normal"/>
    <w:next w:val="Normal"/>
    <w:autoRedefine/>
    <w:uiPriority w:val="39"/>
    <w:unhideWhenUsed/>
    <w:rsid w:val="00E876C1"/>
    <w:pPr>
      <w:spacing w:after="100"/>
      <w:ind w:left="240"/>
    </w:pPr>
  </w:style>
  <w:style w:type="paragraph" w:styleId="TOC3">
    <w:name w:val="toc 3"/>
    <w:basedOn w:val="Normal"/>
    <w:next w:val="Normal"/>
    <w:autoRedefine/>
    <w:uiPriority w:val="39"/>
    <w:unhideWhenUsed/>
    <w:rsid w:val="00E876C1"/>
    <w:pPr>
      <w:spacing w:after="100"/>
      <w:ind w:left="480"/>
    </w:pPr>
  </w:style>
  <w:style w:type="paragraph" w:customStyle="1" w:styleId="p1">
    <w:name w:val="p1"/>
    <w:basedOn w:val="Normal"/>
    <w:rsid w:val="00020E13"/>
    <w:pPr>
      <w:spacing w:before="0" w:after="0" w:line="240" w:lineRule="auto"/>
    </w:pPr>
    <w:rPr>
      <w:rFonts w:ascii="Microsoft Sans Serif" w:hAnsi="Microsoft Sans Serif" w:cs="Microsoft Sans Serif"/>
      <w:color w:val="011D95"/>
      <w:sz w:val="39"/>
      <w:szCs w:val="39"/>
    </w:rPr>
  </w:style>
  <w:style w:type="table" w:styleId="TableGrid">
    <w:name w:val="Table Grid"/>
    <w:basedOn w:val="TableNormal"/>
    <w:uiPriority w:val="39"/>
    <w:rsid w:val="00020E13"/>
    <w:pPr>
      <w:spacing w:before="0" w:after="0" w:line="240" w:lineRule="auto"/>
    </w:pPr>
    <w:rPr>
      <w:rFonts w:asciiTheme="minorHAnsi" w:eastAsiaTheme="minorHAnsi" w:hAnsiTheme="minorHAnsi" w:cstheme="minorBidi"/>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A6EA8"/>
    <w:rPr>
      <w:color w:val="605E5C"/>
      <w:shd w:val="clear" w:color="auto" w:fill="E1DFDD"/>
    </w:rPr>
  </w:style>
  <w:style w:type="character" w:styleId="PlaceholderText">
    <w:name w:val="Placeholder Text"/>
    <w:basedOn w:val="DefaultParagraphFont"/>
    <w:uiPriority w:val="99"/>
    <w:semiHidden/>
    <w:rsid w:val="005208D4"/>
    <w:rPr>
      <w:color w:val="666666"/>
    </w:rPr>
  </w:style>
  <w:style w:type="character" w:customStyle="1" w:styleId="Heading1Char">
    <w:name w:val="Heading 1 Char"/>
    <w:basedOn w:val="DefaultParagraphFont"/>
    <w:link w:val="Heading1"/>
    <w:uiPriority w:val="9"/>
    <w:rsid w:val="00410B5E"/>
    <w:rPr>
      <w:b/>
      <w:bCs/>
      <w:szCs w:val="32"/>
    </w:rPr>
  </w:style>
  <w:style w:type="paragraph" w:styleId="Bibliography">
    <w:name w:val="Bibliography"/>
    <w:basedOn w:val="Normal"/>
    <w:next w:val="Normal"/>
    <w:uiPriority w:val="37"/>
    <w:unhideWhenUsed/>
    <w:rsid w:val="00410B5E"/>
  </w:style>
  <w:style w:type="paragraph" w:styleId="TOCHeading">
    <w:name w:val="TOC Heading"/>
    <w:basedOn w:val="Heading1"/>
    <w:next w:val="Normal"/>
    <w:uiPriority w:val="39"/>
    <w:unhideWhenUsed/>
    <w:qFormat/>
    <w:rsid w:val="00BE47A5"/>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0980874">
      <w:bodyDiv w:val="1"/>
      <w:marLeft w:val="0"/>
      <w:marRight w:val="0"/>
      <w:marTop w:val="0"/>
      <w:marBottom w:val="0"/>
      <w:divBdr>
        <w:top w:val="none" w:sz="0" w:space="0" w:color="auto"/>
        <w:left w:val="none" w:sz="0" w:space="0" w:color="auto"/>
        <w:bottom w:val="none" w:sz="0" w:space="0" w:color="auto"/>
        <w:right w:val="none" w:sz="0" w:space="0" w:color="auto"/>
      </w:divBdr>
    </w:div>
    <w:div w:id="666787067">
      <w:bodyDiv w:val="1"/>
      <w:marLeft w:val="0"/>
      <w:marRight w:val="0"/>
      <w:marTop w:val="0"/>
      <w:marBottom w:val="0"/>
      <w:divBdr>
        <w:top w:val="none" w:sz="0" w:space="0" w:color="auto"/>
        <w:left w:val="none" w:sz="0" w:space="0" w:color="auto"/>
        <w:bottom w:val="none" w:sz="0" w:space="0" w:color="auto"/>
        <w:right w:val="none" w:sz="0" w:space="0" w:color="auto"/>
      </w:divBdr>
    </w:div>
    <w:div w:id="1649629282">
      <w:bodyDiv w:val="1"/>
      <w:marLeft w:val="0"/>
      <w:marRight w:val="0"/>
      <w:marTop w:val="0"/>
      <w:marBottom w:val="0"/>
      <w:divBdr>
        <w:top w:val="none" w:sz="0" w:space="0" w:color="auto"/>
        <w:left w:val="none" w:sz="0" w:space="0" w:color="auto"/>
        <w:bottom w:val="none" w:sz="0" w:space="0" w:color="auto"/>
        <w:right w:val="none" w:sz="0" w:space="0" w:color="auto"/>
      </w:divBdr>
    </w:div>
    <w:div w:id="1771731837">
      <w:bodyDiv w:val="1"/>
      <w:marLeft w:val="0"/>
      <w:marRight w:val="0"/>
      <w:marTop w:val="0"/>
      <w:marBottom w:val="0"/>
      <w:divBdr>
        <w:top w:val="none" w:sz="0" w:space="0" w:color="auto"/>
        <w:left w:val="none" w:sz="0" w:space="0" w:color="auto"/>
        <w:bottom w:val="none" w:sz="0" w:space="0" w:color="auto"/>
        <w:right w:val="none" w:sz="0" w:space="0" w:color="auto"/>
      </w:divBdr>
    </w:div>
    <w:div w:id="203549939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nur@thinkers.mn" TargetMode="External"/><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B23fa1586@ufe.edu.mn"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B23fa1593@ufe.edu.mn"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b23fa1596@ufe.edu.mn" TargetMode="External"/><Relationship Id="rId14" Type="http://schemas.openxmlformats.org/officeDocument/2006/relationships/image" Target="media/image3.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Сан22</b:Tag>
    <b:SourceType>InternetSite</b:SourceType>
    <b:Guid>{6C6B828A-4139-B348-B53F-AC6672008B06}</b:Guid>
    <b:Title>Санхүүгийн тогтвортой байдлын үзүүлэлтүүд</b:Title>
    <b:Year>2022</b:Year>
    <b:InternetSiteTitle>Монголбанк</b:InternetSiteTitle>
    <b:URL>https://www.mongolbank.mn/file/files/documents/sanhuugintb/indicators.pdf</b:URL>
    <b:RefOrder>2</b:RefOrder>
  </b:Source>
  <b:Source>
    <b:Tag>s09</b:Tag>
    <b:SourceType>InternetSite</b:SourceType>
    <b:Guid>{61247B08-4EB5-9949-93F7-BCE3761E6090}</b:Guid>
    <b:Author>
      <b:Author>
        <b:Corporate>Ravi Balakrishnan, Stephan Danninger, Selim Elekdag, and Irina Tytell</b:Corporate>
      </b:Author>
    </b:Author>
    <b:Title>The Transmission of Financial Stress from Advanced to Emerging Economies</b:Title>
    <b:InternetSiteTitle>IMF.org</b:InternetSiteTitle>
    <b:URL>https://www.imf.org/external/pubs/ft/wp/2009/wp09133.pdf</b:URL>
    <b:Year>2009</b:Year>
    <b:RefOrder>1</b:RefOrder>
  </b:Source>
  <b:Source>
    <b:Tag>Mar06</b:Tag>
    <b:SourceType>InternetSite</b:SourceType>
    <b:Guid>{983C3A51-8307-9E48-9FC4-85572E060C03}</b:Guid>
    <b:Author>
      <b:Author>
        <b:Corporate>Mark Illing ,  Ying Liu</b:Corporate>
      </b:Author>
    </b:Author>
    <b:Title>Measuring financial stress in a developed country: An application to Canada</b:Title>
    <b:InternetSiteTitle>ScienceDirect</b:InternetSiteTitle>
    <b:URL>https://www.sciencedirect.com/science/article/abs/pii/S1572308906000301</b:URL>
    <b:Year>2006</b:Year>
    <b:RefOrder>3</b:RefOrder>
  </b:Source>
  <b:Source>
    <b:Tag>Rob11</b:Tag>
    <b:SourceType>InternetSite</b:SourceType>
    <b:Guid>{AA760876-CAEF-7341-995D-78547BE851BB}</b:Guid>
    <b:Author>
      <b:Author>
        <b:Corporate>Roberto Cardarelli, Selim Elekdag, and Subir Lall</b:Corporate>
      </b:Author>
    </b:Author>
    <b:Title>Financial stress and economic contractions</b:Title>
    <b:InternetSiteTitle>ScienceDirect</b:InternetSiteTitle>
    <b:URL>https://www.sciencedirect.com/science/article/abs/pii/S1572308910000069</b:URL>
    <b:Year>2011</b:Year>
    <b:Month>6</b:Month>
    <b:RefOrder>4</b:RefOrder>
  </b:Source>
  <b:Source>
    <b:Tag>Cra09</b:Tag>
    <b:SourceType>InternetSite</b:SourceType>
    <b:Guid>{C271AFD7-D940-624B-8EAF-D0B48F6361F0}</b:Guid>
    <b:Title>"Financial Stress: What Is It, How Can It Be Measured, and How Does It Affect the Economy?"</b:Title>
    <b:Year>2009</b:Year>
    <b:Author>
      <b:Author>
        <b:Corporate>Craig S. Hakkio &amp; William R. Keeton</b:Corporate>
      </b:Author>
    </b:Author>
    <b:InternetSiteTitle>Ideas</b:InternetSiteTitle>
    <b:URL>https://ideas.repec.org/a/fip/fedker/y2009iqiip5-50nv.94no.2.html</b:URL>
    <b:RefOrder>5</b:RefOrder>
  </b:Source>
  <b:Source>
    <b:Tag>Dán12</b:Tag>
    <b:SourceType>DocumentFromInternetSite</b:SourceType>
    <b:Guid>{ABEB8E53-578C-8344-A13B-996914473674}</b:Guid>
    <b:Title>CISS – A Composite Indicator of Systemic Stress in the Financial System</b:Title>
    <b:InternetSiteTitle>Europa.eu</b:InternetSiteTitle>
    <b:URL>https://www.ecb.europa.eu/pub/pdf/scpwps/ecbwp1426.pdf</b:URL>
    <b:Year>2012</b:Year>
    <b:Month>3</b:Month>
    <b:Author>
      <b:Author>
        <b:Corporate>Dániel Holló, Manfred Kremer and Marco Lo Duca</b:Corporate>
      </b:Author>
    </b:Author>
    <b:RefOrder>6</b:RefOrder>
  </b:Source>
  <b:Source>
    <b:Tag>Fil17</b:Tag>
    <b:SourceType>JournalArticle</b:SourceType>
    <b:Guid>{4276AA5A-BCC3-6748-8D94-8220CF15A74D}</b:Guid>
    <b:Title>"The OFR Financial Stress Index"</b:Title>
    <b:Year>2017</b:Year>
    <b:Author>
      <b:Author>
        <b:Corporate>Filippos Monin</b:Corporate>
      </b:Author>
    </b:Author>
    <b:JournalName>Office of Financial Research </b:JournalName>
    <b:Pages>17-01</b:Pages>
    <b:RefOrder>7</b:RefOrder>
  </b:Source>
  <b:Source>
    <b:Tag>sc</b:Tag>
    <b:SourceType>InternetSite</b:SourceType>
    <b:Guid>{FF409D57-5F59-3C47-AC49-1027677A8FA3}</b:Guid>
    <b:Author>
      <b:Author>
        <b:Corporate>Hites Ahir, Nicholas Bloom, and Davide Furceri</b:Corporate>
      </b:Author>
    </b:Author>
    <b:Title>"The World Uncertainty Index"</b:Title>
    <b:JournalName>Oxford Open Economics </b:JournalName>
    <b:Year>2023</b:Year>
    <b:InternetSiteTitle>DOI</b:InternetSiteTitle>
    <b:URL>https://academic.oup.com/ooec/article/doi/10.1093/ooec/odac002/6546693?login=false</b:URL>
    <b:RefOrder>8</b:RefOrder>
  </b:Source>
  <b:Source>
    <b:Tag>Thi17</b:Tag>
    <b:SourceType>InternetSite</b:SourceType>
    <b:Guid>{5F969C66-D8D0-C142-88E7-3B7D095DB5ED}</b:Guid>
    <b:Author>
      <b:Author>
        <b:Corporate>Thibaut Duprey, Benjamin Klaus, and Tuomas A. Peltonen (Tisserand)</b:Corporate>
      </b:Author>
    </b:Author>
    <b:Title>Dating Systemic Financial Stress Episodes in the EU Countries</b:Title>
    <b:InternetSiteTitle>Econpapers</b:InternetSiteTitle>
    <b:URL>https://econpapers.repec.org/paper/bcabocawp/16-11.htm</b:URL>
    <b:Year>2017</b:Year>
    <b:RefOrder>9</b:RefOrder>
  </b:Source>
  <b:Source>
    <b:Tag>Gra98</b:Tag>
    <b:SourceType>InternetSite</b:SourceType>
    <b:Guid>{E338AC20-8155-7C4A-AA94-96CBC0042EFD}</b:Guid>
    <b:Author>
      <b:Author>
        <b:Corporate>Graciela Kaminsky, Saul Lizondo, and Carmen M. Reinhart</b:Corporate>
      </b:Author>
    </b:Author>
    <b:InternetSiteTitle>IMF stuff papers. Vol 45. No 1, 1-48</b:InternetSiteTitle>
    <b:URL>https://www.imf.org/external/pubs/ft/staffp/1998/03-98/pdf/kaminsky.pdf</b:URL>
    <b:Year>1998</b:Year>
    <b:Month>3</b:Month>
    <b:Title>"Leading Indicators of Currency Crises"</b:Title>
    <b:RefOrder>13</b:RefOrder>
  </b:Source>
  <b:Source>
    <b:Tag>IMF08</b:Tag>
    <b:SourceType>InternetSite</b:SourceType>
    <b:Guid>{63FAAD44-CF13-2844-995C-32AA94284002}</b:Guid>
    <b:Author>
      <b:Author>
        <b:Corporate>International Monetary Fund</b:Corporate>
      </b:Author>
    </b:Author>
    <b:InternetSiteTitle>Mongolia: 2008 Article IV Consultation: Staff Report; Staff Supplement; Public Information Notice on the Executive Board Discussion</b:InternetSiteTitle>
    <b:Year>2008</b:Year>
    <b:Month>7</b:Month>
    <b:Day>1</b:Day>
    <b:URL>https://www.imf.org/en/publications/cr/issues/2016/12/31/mongolia-2008-article-iv-consultation-staff-report-staff-supplement-public-information-22107</b:URL>
    <b:RefOrder>10</b:RefOrder>
  </b:Source>
  <b:Source>
    <b:Tag>Int16</b:Tag>
    <b:SourceType>InternetSite</b:SourceType>
    <b:Guid>{DACFFBD3-B71A-E54A-97EC-C568CDBE3DF9}</b:Guid>
    <b:Author>
      <b:Author>
        <b:NameList>
          <b:Person>
            <b:Last>International Monetary Fund</b:Last>
          </b:Person>
        </b:NameList>
      </b:Author>
    </b:Author>
    <b:InternetSiteTitle>Mongolia: Fourth Review under the Stand-By Arrangement and Request for Modification of Performance Criteria</b:InternetSiteTitle>
    <b:Year>2016</b:Year>
    <b:RefOrder>11</b:RefOrder>
  </b:Source>
  <b:Source>
    <b:Tag>Int23</b:Tag>
    <b:SourceType>InternetSite</b:SourceType>
    <b:Guid>{81777324-D90F-A249-B592-BFA75203CFF6}</b:Guid>
    <b:Author>
      <b:Author>
        <b:Corporate>International Monetary Fund</b:Corporate>
      </b:Author>
    </b:Author>
    <b:Title>Mongolia: 2023 Article IV Consultation-Press Release; and Staff Report</b:Title>
    <b:InternetSiteTitle>IMF</b:InternetSiteTitle>
    <b:URL>https://www.imf.org/en/publications/cr/issues/2023/10/04/mongolia-2023-article-iv-consultation-press-release-and-staff-report-540108</b:URL>
    <b:Year>2023</b:Year>
    <b:Month>10</b:Month>
    <b:Day>4</b:Day>
    <b:RefOrder>12</b:RefOrder>
  </b:Source>
  <b:Source>
    <b:Tag>Tim86</b:Tag>
    <b:SourceType>InternetSite</b:SourceType>
    <b:Guid>{05F6C344-5DC7-AA43-9532-6CCC00C002B6}</b:Guid>
    <b:Author>
      <b:Author>
        <b:NameList>
          <b:Person>
            <b:Last>Bollerslev</b:Last>
            <b:First>Tim</b:First>
          </b:Person>
        </b:NameList>
      </b:Author>
    </b:Author>
    <b:Title>Generalized Autoregressive Conditional Heteroskedasticity</b:Title>
    <b:InternetSiteTitle>Journal of Econometrics</b:InternetSiteTitle>
    <b:URL>10.1016/0304-4076(86)90063-1</b:URL>
    <b:Year>1986</b:Year>
    <b:Month>4</b:Month>
    <b:RefOrder>16</b:RefOrder>
  </b:Source>
  <b:Source>
    <b:Tag>Abd13</b:Tag>
    <b:SourceType>JournalArticle</b:SourceType>
    <b:Guid>{41BD1A6F-3A54-ED42-AC68-E7423590A2C2}</b:Guid>
    <b:Author>
      <b:Author>
        <b:NameList>
          <b:Person>
            <b:Last>Abdymomunov</b:Last>
          </b:Person>
        </b:NameList>
      </b:Author>
    </b:Author>
    <b:Title>Regime-switching measure of systemic financial stress</b:Title>
    <b:InternetSiteTitle>Annals of Finance, 9(3), pp. 455-470.</b:InternetSiteTitle>
    <b:Year>2013</b:Year>
    <b:JournalName>Annals of Finance, 9(3), pp. 455-470.</b:JournalName>
    <b:RefOrder>14</b:RefOrder>
  </b:Source>
  <b:Source>
    <b:Tag>Cha14</b:Tag>
    <b:SourceType>JournalArticle</b:SourceType>
    <b:Guid>{1A69AAE7-9EB7-FE49-AE3D-07BFB83F0107}</b:Guid>
    <b:Author>
      <b:Author>
        <b:Corporate>Chau, F., &amp; Deesomsak, R.</b:Corporate>
      </b:Author>
    </b:Author>
    <b:Title>Business cycle variation and the performance of financial stress indices</b:Title>
    <b:JournalName>nternational Review of Financial Analysis, 33, pp. 60-77.</b:JournalName>
    <b:Year>2014</b:Year>
    <b:RefOrder>15</b:RefOrder>
  </b:Source>
  <b:Source>
    <b:Tag>Leo01</b:Tag>
    <b:SourceType>InternetSite</b:SourceType>
    <b:Guid>{E68B79FE-8CE9-2B4A-8982-8F47EA957FB5}</b:Guid>
    <b:Author>
      <b:Author>
        <b:NameList>
          <b:Person>
            <b:Last>Breiman</b:Last>
            <b:First>Leo</b:First>
          </b:Person>
        </b:NameList>
      </b:Author>
    </b:Author>
    <b:Title>Random Forests</b:Title>
    <b:InternetSiteTitle>Machine Learning, Vol.45, Issue 1, Pages 5-32</b:InternetSiteTitle>
    <b:URL>https://link.springer.com/article/10.1023/A:1010933404324</b:URL>
    <b:Year>2001</b:Year>
    <b:RefOrder>17</b:RefOrder>
  </b:Source>
  <b:Source>
    <b:Tag>Jer01</b:Tag>
    <b:SourceType>InternetSite</b:SourceType>
    <b:Guid>{6BF435B1-B98C-8944-BC14-D303649579C9}</b:Guid>
    <b:Author>
      <b:Author>
        <b:NameList>
          <b:Person>
            <b:Last>Friedman</b:Last>
            <b:First>Jerome</b:First>
            <b:Middle>H.</b:Middle>
          </b:Person>
        </b:NameList>
      </b:Author>
    </b:Author>
    <b:Title>Greedy function approximation: A gradient boosting machine.</b:Title>
    <b:InternetSiteTitle>The Annals of Statistics, Volume 29, Number 5, Pages 1189-1232</b:InternetSiteTitle>
    <b:URL>https://projecteuclid.org/journals/annals-of-statistics/volume-29/issue-5/Greedy-function-approximation-A-gradient-boosting-machine/10.1214/aos/1013203451.full</b:URL>
    <b:Year>2001</b:Year>
    <b:RefOrder>18</b:RefOrder>
  </b:Source>
  <b:Source>
    <b:Tag>Tob19</b:Tag>
    <b:SourceType>InternetSite</b:SourceType>
    <b:Guid>{605006D8-4DB6-7247-99B0-E3B415CFAFBB}</b:Guid>
    <b:Author>
      <b:Author>
        <b:Corporate>Tobias Adrian ,Nina Boyarchenko, Domenico Giannone</b:Corporate>
      </b:Author>
    </b:Author>
    <b:Title>Vulnerable Growth</b:Title>
    <b:InternetSiteTitle>American Economic Review, 109 (4): 1263-89</b:InternetSiteTitle>
    <b:URL>https://www.aeaweb.org/articles?id=10.1257/aer.20161923</b:URL>
    <b:Year>2019</b:Year>
    <b:Month>4</b:Month>
    <b:RefOrder>19</b:RefOrder>
  </b:Source>
  <b:Source>
    <b:Tag>Sir21</b:Tag>
    <b:SourceType>InternetSite</b:SourceType>
    <b:Guid>{6DAD6375-6992-BA48-BABE-157BF4079D18}</b:Guid>
    <b:Author>
      <b:Author>
        <b:Corporate>Sirio Aramonte, Andreas Schrimpf and Hyun Song Shin</b:Corporate>
      </b:Author>
    </b:Author>
    <b:Title>"Non-bank financial intermediaries and financial stability"</b:Title>
    <b:InternetSiteTitle>BIS Working Papers No 972, page 1-50</b:InternetSiteTitle>
    <b:Year>2021</b:Year>
    <b:Month>10</b:Month>
    <b:Day>29</b:Day>
    <b:RefOrder>20</b:RefOrder>
  </b:Source>
</b:Sources>
</file>

<file path=customXml/itemProps1.xml><?xml version="1.0" encoding="utf-8"?>
<ds:datastoreItem xmlns:ds="http://schemas.openxmlformats.org/officeDocument/2006/customXml" ds:itemID="{8D3CE223-3B36-5A4A-9F84-CE1159525C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Pages>
  <Words>8531</Words>
  <Characters>48633</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МССИ — Эрдэм шинжилгээний бүтээл</vt:lpstr>
    </vt:vector>
  </TitlesOfParts>
  <Company/>
  <LinksUpToDate>false</LinksUpToDate>
  <CharactersWithSpaces>57050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МССИ — Эрдэм шинжилгээний бүтээл</dc:title>
  <dc:creator>СЭЗИС</dc:creator>
  <dc:description>Монгол Улсын санхүүгийн стрессийн индексийг байгуулах нь</dc:description>
  <cp:lastModifiedBy>Баярбат АМАР-ОРГИЛ</cp:lastModifiedBy>
  <cp:revision>8</cp:revision>
  <dcterms:created xsi:type="dcterms:W3CDTF">2026-04-17T03:55:00Z</dcterms:created>
  <dcterms:modified xsi:type="dcterms:W3CDTF">2026-04-27T22:54:00Z</dcterms:modified>
</cp:coreProperties>
</file>