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r>
        <w:tc>
          <w:tcPr>
            <w:tcW w:type="dxa" w:w="1701"/>
          </w:tcPr>
          <w:p>
            <w:pPr>
              <w:spacing w:line="240" w:lineRule="auto" w:before="0" w:after="40"/>
              <w:ind w:firstLine="0"/>
              <w:jc w:val="left"/>
            </w:pPr>
            <w:r>
              <w:rPr>
                <w:rFonts w:ascii="Times New Roman" w:hAnsi="Times New Roman" w:eastAsia="Times New Roman"/>
                <w:b w:val="0"/>
                <w:i w:val="0"/>
                <w:color w:val="000000"/>
                <w:sz w:val="18"/>
              </w:rPr>
              <w:t>ТН</w:t>
            </w:r>
          </w:p>
        </w:tc>
        <w:tc>
          <w:tcPr>
            <w:tcW w:type="dxa" w:w="3685"/>
          </w:tcPr>
          <w:p>
            <w:pPr>
              <w:spacing w:line="240" w:lineRule="auto" w:before="0" w:after="40"/>
              <w:ind w:firstLine="0"/>
              <w:jc w:val="left"/>
            </w:pPr>
            <w:r>
              <w:rPr>
                <w:rFonts w:ascii="Times New Roman" w:hAnsi="Times New Roman" w:eastAsia="Times New Roman"/>
                <w:b w:val="0"/>
                <w:i w:val="0"/>
                <w:color w:val="000000"/>
                <w:sz w:val="18"/>
              </w:rPr>
              <w:t>Fixed Effects (FE)</w:t>
            </w:r>
          </w:p>
        </w:tc>
        <w:tc>
          <w:tcPr>
            <w:tcW w:type="dxa" w:w="3685"/>
          </w:tcPr>
          <w:p>
            <w:pPr>
              <w:spacing w:line="240" w:lineRule="auto" w:before="0" w:after="40"/>
              <w:ind w:firstLine="0"/>
              <w:jc w:val="left"/>
            </w:pPr>
            <w:r>
              <w:rPr>
                <w:rFonts w:ascii="Times New Roman" w:hAnsi="Times New Roman" w:eastAsia="Times New Roman"/>
                <w:b w:val="0"/>
                <w:i w:val="0"/>
                <w:color w:val="000000"/>
                <w:sz w:val="18"/>
              </w:rPr>
              <w:t>Тогтмол нөлөө</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399 удаагийн бүүтстрап шалгалтаар дэмжигдсэн боловч кластераар зассан Wald шалгалтын p-утга 0.102, мөн 1,999 давталттай баталгаажуулалт хийгдээгүй тул үр дүнг урьдчилсан эмпирик нотолгоо гэж болгоомжтой тайлбарлана.</w:t>
      </w:r>
    </w:p>
    <w:p>
      <w:pPr>
        <w:spacing w:line="360" w:lineRule="auto" w:before="0" w:after="120"/>
        <w:ind w:firstLine="0"/>
        <w:jc w:val="left"/>
      </w:pPr>
      <w:r>
        <w:rPr>
          <w:rFonts w:ascii="Times New Roman" w:hAnsi="Times New Roman" w:eastAsia="Times New Roman"/>
          <w:b/>
          <w:i w:val="0"/>
          <w:color w:val="000000"/>
          <w:sz w:val="24"/>
        </w:rPr>
        <w:t xml:space="preserve">Түлхүүр үгс: </w:t>
      </w:r>
      <w:r>
        <w:rPr>
          <w:rFonts w:ascii="Times New Roman" w:hAnsi="Times New Roman" w:eastAsia="Times New Roman"/>
          <w:b w:val="0"/>
          <w:i w:val="0"/>
          <w:color w:val="000000"/>
          <w:sz w:val="24"/>
        </w:rPr>
        <w:t>боловсролын өгөөж; хэрэгсэл хувьсагч; босго утгат регресс; ӨНЭЗС; сурагч-багшийн харьцаа.</w:t>
      </w:r>
    </w:p>
    <w:p>
      <w:pPr>
        <w:spacing w:line="360" w:lineRule="auto" w:before="0" w:after="120"/>
        <w:ind w:firstLine="0"/>
        <w:jc w:val="left"/>
      </w:pPr>
      <w:r>
        <w:rPr>
          <w:rFonts w:ascii="Times New Roman" w:hAnsi="Times New Roman" w:eastAsia="Times New Roman"/>
          <w:b/>
          <w:i w:val="0"/>
          <w:color w:val="000000"/>
          <w:sz w:val="24"/>
        </w:rPr>
        <w:t xml:space="preserve">JEL ангилал: </w:t>
      </w:r>
      <w:r>
        <w:rPr>
          <w:rFonts w:ascii="Times New Roman" w:hAnsi="Times New Roman" w:eastAsia="Times New Roman"/>
          <w:b w:val="0"/>
          <w:i w:val="0"/>
          <w:color w:val="000000"/>
          <w:sz w:val="24"/>
        </w:rPr>
        <w:t>I26; J31; C36; C21; O15.</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pPr>
        <w:spacing w:line="360" w:lineRule="auto" w:before="0" w:after="120"/>
        <w:ind w:firstLine="709"/>
        <w:jc w:val="both"/>
      </w:pPr>
      <w:r>
        <w:rPr>
          <w:rFonts w:ascii="Times New Roman" w:hAnsi="Times New Roman" w:eastAsia="Times New Roman"/>
          <w:b w:val="0"/>
          <w:i w:val="0"/>
          <w:color w:val="000000"/>
          <w:sz w:val="24"/>
        </w:rPr>
        <w:t>Судалгааны ажил нь хураангуй, оршил, таван үндсэн бүлэг, ном зүй, хавсралтаас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ХХБР үнэлгээ болон бүүтстрап шалгалтын үр дүнг нэгтгэн шинжилнэ. Тавдугаар бүлэгт үндсэн дүгнэлт, бодлогын санал, судалгааны хязгаарлалтыг танилцуулна.</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ind w:firstLine="567"/>
        <w:jc w:val="both"/>
      </w:pPr>
      <w:r>
        <w:t xml:space="preserve">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w:t>
      </w:r>
      <w:r>
        <w:lastRenderedPageBreak/>
        <w:t>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үндсэн арга нь Caner, Hansen (2004)-ийн аргачлалын логикт суурилсан хэрэгсэл хувьсагчтай босго утгат регрессийн хэрэгжүүлэлт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10–90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7D181C16"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20FA7CEB"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pPr>
            <w:r>
              <w:rPr>
                <w:rFonts w:ascii="Times New Roman" w:eastAsia="Times New Roman" w:hAnsi="Times New Roman"/>
                <w:sz w:val="18"/>
              </w:rPr>
              <w:t>educ</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pPr>
            <w:r>
              <w:rPr>
                <w:rFonts w:ascii="Times New Roman" w:eastAsia="Times New Roman" w:hAnsi="Times New Roman"/>
                <w:sz w:val="18"/>
              </w:rPr>
              <w:t>PE</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pPr>
            <w:r>
              <w:rPr>
                <w:rFonts w:ascii="Times New Roman" w:eastAsia="Times New Roman" w:hAnsi="Times New Roman"/>
                <w:sz w:val="18"/>
              </w:rPr>
              <w:t>q</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pPr>
            <w:r>
              <w:rPr>
                <w:rFonts w:ascii="Times New Roman" w:eastAsia="Times New Roman" w:hAnsi="Times New Roman"/>
                <w:sz w:val="18"/>
              </w:rPr>
              <w:t>X</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ТН</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pPr>
            <w:r>
              <w:rPr>
                <w:rFonts w:ascii="Times New Roman" w:eastAsia="Times New Roman" w:hAnsi="Times New Roman"/>
                <w:sz w:val="18"/>
              </w:rPr>
              <w:t>h</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pPr>
            <w:r>
              <w:rPr>
                <w:rFonts w:ascii="Times New Roman" w:eastAsia="Times New Roman" w:hAnsi="Times New Roman"/>
                <w:sz w:val="18"/>
              </w:rPr>
              <w:t>Сул IV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pPr>
            <w:r>
              <w:rPr>
                <w:rFonts w:ascii="Times New Roman" w:eastAsia="Times New Roman" w:hAnsi="Times New Roman"/>
                <w:sz w:val="18"/>
              </w:rPr>
              <w:t>F &lt; 10 биш</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pPr>
            <w:r>
              <w:rPr>
                <w:rFonts w:ascii="Times New Roman" w:eastAsia="Times New Roman" w:hAnsi="Times New Roman"/>
                <w:sz w:val="18"/>
              </w:rPr>
              <w:t>Weak-IV flag = FALSE</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color w:val="000000"/>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jc w:val="center"/>
      </w:pPr>
      <w:r>
        <w:rPr>
          <w:i/>
          <w:color w:val="000000"/>
          <w:sz w:val="20"/>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ind w:firstLine="709"/>
        <w:jc w:val="both"/>
      </w:pPr>
      <w:r>
        <w:rPr>
          <w:color w:val="000000"/>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ind w:firstLine="709"/>
        <w:jc w:val="both"/>
      </w:pPr>
      <w:r>
        <w:rPr>
          <w:color w:val="000000"/>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дэмжигдэж байгааг харуулна. Харин кластераар зассан Wald шалгалтын p-утга 0.102 байгаа тул уламжлалт асимптотик шалгалтаар ялгаа 5 хувийн түвшинд баттай гарахгүй байна. Иймээс энэ үр дүнг эцсийн хүчтэй нотолгоо бус, 1,999 давталттай бүүтстрапаар дахин баталгаажуулах шаардлагатай урьдчилсан эмпирик нотолгоо гэж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0.102</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Bootstrap p-утга</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0.0451</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β зөрүүний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[0.0044; 0.0608]</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[0.0800; 0.1504]</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Урьдчилсан дэмжлэгтэй</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B=399; B=1999 шаардлагатай</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p=0.102; boot p=0.0451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B=399 тул урьдчилсан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pPr>
            <w:r>
              <w:rPr>
                <w:rFonts w:ascii="Times New Roman" w:eastAsia="Times New Roman" w:hAnsi="Times New Roman"/>
                <w:sz w:val="18"/>
              </w:rPr>
              <w:t>Сул IV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pPr>
            <w:r>
              <w:rPr>
                <w:rFonts w:ascii="Times New Roman" w:eastAsia="Times New Roman" w:hAnsi="Times New Roman"/>
                <w:sz w:val="18"/>
              </w:rPr>
              <w:t>0 failed</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pPr>
            <w:r>
              <w:rPr>
                <w:rFonts w:ascii="Times New Roman" w:eastAsia="Times New Roman" w:hAnsi="Times New Roman"/>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сургуулийн орчны ачааллаар ялгаатай байх боломжтой гэсэн үр дүн юм. Гэхдээ регимийн зөрүү нь 399 давталттай бүүтстрап дээр дэмжигдсэн тул эцсийн баттай дүгнэлт гаргахын өмнө илүү өндөр давталттай шалгалтаар баталгаажуулах шаардлагатай.</w:t>
      </w:r>
    </w:p>
    <w:p w14:paraId="3E2D1C56" w14:textId="77777777" w:rsidR="00972FBE" w:rsidRDefault="00D33DC4">
      <w:pPr>
        <w:spacing w:before="0"/>
        <w:ind w:firstLine="709"/>
        <w:jc w:val="both"/>
      </w:pPr>
      <w:r>
        <w:rPr>
          <w:color w:val="000000"/>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10%</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90%</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ind w:firstLine="709"/>
        <w:jc w:val="both"/>
      </w:pPr>
      <w:r>
        <w:rPr>
          <w:color w:val="000000"/>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51EFCF1" w14:textId="77777777" w:rsidR="000B782D" w:rsidRDefault="000B782D">
      <w:pPr>
        <w:spacing w:before="240" w:after="60" w:line="276" w:lineRule="auto"/>
      </w:pPr>
    </w:p>
    <w:p w14:paraId="10DA5756" w14:textId="77777777" w:rsidR="000B782D" w:rsidRDefault="0018275F">
      <w:pPr>
        <w:spacing w:before="0"/>
        <w:ind w:firstLine="709"/>
        <w:jc w:val="both"/>
      </w:pPr>
      <w:r>
        <w:rPr>
          <w:color w:val="000000"/>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регрессийн гарын авлагын хэрэгжүүлэлт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Хоёр регимийн ялгаа 3.1 нэгж хувь бөгөөд 399 удаагийн кластерласан бүүтстрапын хүрээнд p-утга 0.045 гарсан боловч Wald шалгалтын p-утга 0.102, мөн давталтын тоог 1,999 болгон өргөтгөөгүй тул энэ олдворыг хэт хүчтэй дүгнэлт бус, үндсэн эмпирик нотолгоог дэмжсэн урьдчилсан үр дүн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ind w:firstLine="709"/>
        <w:jc w:val="both"/>
      </w:pPr>
      <w:r>
        <w:rPr>
          <w:color w:val="000000"/>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ind w:firstLine="709"/>
        <w:jc w:val="both"/>
        <w:rPr>
          <w:bCs/>
        </w:rPr>
      </w:pPr>
      <w:r>
        <w:rPr>
          <w:color w:val="000000"/>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Багшийн ачаалал, сургалтын орчны нөөц, бүс нутгийн сургуулийн чанарын ялгаа нь боловсролын дараах хөдөлмөрийн зах зээлийн үр өгөөжтэй уялдах боломжтой.</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ind w:firstLine="709"/>
      </w:pPr>
      <w:r>
        <w:rPr>
          <w:color w:val="000000"/>
        </w:rPr>
        <w:lastRenderedPageBreak/>
        <w:t>Энэхүү судалгаа хэд хэдэн хязгаарлалттай. Нэгдүгээрт, эцэг, эхийн боловсролын мэдээлэл нь өрхийн бүрэлдэхүүний бүртгэлээс байгуулагдсан тул эцсийн IVTR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pPr>
        <w:spacing w:line="360" w:lineRule="auto" w:before="0" w:after="120"/>
        <w:ind w:firstLine="709"/>
        <w:jc w:val="both"/>
      </w:pPr>
      <w:r>
        <w:rPr>
          <w:rFonts w:ascii="Times New Roman" w:hAnsi="Times New Roman" w:eastAsia="Times New Roman"/>
          <w:b w:val="0"/>
          <w:i w:val="0"/>
          <w:color w:val="000000"/>
          <w:sz w:val="24"/>
        </w:rPr>
        <w:t>Montenegro, C. E., &amp; Patrinos, H. A. (2014). Comparable estimates of returns to schooling around the world (Policy Research Working Paper No. 7020). World Bank.</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0" w:line="360" w:lineRule="auto" w:after="120"/>
        <w:ind w:left="709" w:firstLine="709"/>
        <w:jc w:val="both"/>
      </w:pPr>
      <w:r>
        <w:rPr>
          <w:rFonts w:ascii="Times New Roman" w:hAnsi="Times New Roman" w:eastAsia="Times New Roman"/>
          <w:b w:val="0"/>
          <w:i w:val="0"/>
          <w:color w:val="000000"/>
          <w:sz w:val="24"/>
        </w:rPr>
        <w:t>Үндэсний статистикийн хороо. (2024). Өрхийн нийгэм эдийн засгийн судалгаа 2024. ҮСХ. https://data.1212.mn</w:t>
      </w:r>
    </w:p>
    <w:p>
      <w:pPr>
        <w:spacing w:line="360" w:lineRule="auto" w:before="0" w:after="120"/>
        <w:ind w:firstLine="709"/>
        <w:jc w:val="both"/>
      </w:pPr>
      <w:r>
        <w:rPr>
          <w:rFonts w:ascii="Times New Roman" w:hAnsi="Times New Roman" w:eastAsia="Times New Roman"/>
          <w:b w:val="0"/>
          <w:i w:val="0"/>
          <w:color w:val="000000"/>
          <w:sz w:val="24"/>
        </w:rPr>
        <w:t>Ай Ар Ай Эм ХХК. (2015). Хөдөлмөрийн зах зээлийн шинжилгээний тайлан. Азийн хөгжлийн банк.</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10–90 хувийн мужид явуулж, хамгийн бага зорилгын функц бүхий босгыг 19.53 гэж сонгосон.</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