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r>
        <w:t>IV БҮЛЭГ. ШИНЖИЛГЭЭНИЙ ҮР ДҮН</w:t>
      </w:r>
    </w:p>
    <w:p w14:paraId="66BCDE6A" w14:textId="77777777" w:rsidR="00972FBE" w:rsidRDefault="00D33DC4">
      <w:pPr/>
      <w:r>
        <w:t>Энэ бүлэгт боловсролын цалингийн өгөөжийг гурван түвшинд үнэлсэн үр дүнг танилцуулна. Нэгдүгээрт, эцсийн ХХБР түүвэр дээрх ЭХБК ба ХШХБК үнэлгээг харьцуулж, боловсролын эндоген сонголтыг засахад өгөөжийн хэмжээ хэрхэн өөрчлөгдөж байгааг харуулна. Хоёрдугаарт, эцэг, эхийн боловсролын дундаж хэрэгсэл хувьсагчийн эхний шатны хүчийг шалгана. Гуравдугаарт, 17–18 насны сурагч-багшийн дундаж харьцаагаар тодорхойлогдох босгоны сүлжээн хайлт, регим тус бүрийн боловсролын өгөөж, бүүтстрап дахин түүвэрлэлтийн үр дүнг нэгтгэн тайлбарлана.</w:t>
      </w:r>
    </w:p>
    <w:p w14:paraId="76AD7287" w14:textId="77777777" w:rsidR="000B782D" w:rsidRDefault="0018275F">
      <w:pPr>
        <w:pStyle w:val="Heading2"/>
        <w:spacing w:after="120"/>
      </w:pPr>
      <w:r>
        <w:t>4.1. ЭХБК ба ХШХБК үнэлгээний суурь үр дүн</w:t>
      </w:r>
    </w:p>
    <w:p w14:paraId="770FA611" w14:textId="77777777" w:rsidR="000B782D" w:rsidRDefault="0018275F">
      <w:pPr>
        <w:ind w:firstLine="567"/>
      </w:pPr>
      <w:r>
        <w:t>Эцсийн ХХБР түүвэр 3,188 ажиглалтаас бүрдэнэ. Энэ түүвэр дээр боловсролын нэг жилийн өгөөжийг ЭХБК аргаар эхлэн үнэлэхэд коэффициент 0.0472 гарч, экспоненциал хувиргалтаар ойролцоогоор 4.8 хувийн цалингийн өгөөжтэй байна. Харин эцэг, эхийн боловсролын дундажийг хэрэгсэл хувьсагчаар ашигласан ХШХБК үнэлгээнд боловсролын коэффициент 0.1033 болж өссөн бөгөөд энэ нь ойролцоогоор 10.9 хувийн өгөөжтэй тэнцэнэ.</w:t>
      </w:r>
    </w:p>
    <w:p w14:paraId="2E62D24A" w14:textId="77777777" w:rsidR="000B782D" w:rsidRDefault="0018275F">
      <w:pPr>
        <w:spacing w:before="240" w:after="60" w:line="276" w:lineRule="auto"/>
      </w:pPr>
      <w:r>
        <w:t>Хүснэгт 3  ЭХБК ба ХШХБК үнэлгээний харьцуулалт</w:t>
      </w:r>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Pr>
          <w:p>
            <w:r>
              <w:t>0.0472***</w:t>
            </w:r>
          </w:p>
        </w:tc>
        <w:tc>
          <w:tcPr>
            <w:tcW w:w="1871" w:type="dxa"/>
            <w:tcBorders>
              <w:top w:val="single" w:sz="4" w:space="0" w:color="000000"/>
              <w:left w:val="single" w:sz="4" w:space="0" w:color="000000"/>
              <w:bottom w:val="single" w:sz="4" w:space="0" w:color="000000"/>
              <w:right w:val="single" w:sz="4" w:space="0" w:color="000000"/>
            </w:tcBorders>
            <w:vAlign w:val="center"/>
          </w:tcPr>
          <w:p>
            <w:r>
              <w:t>0.1033***</w:t>
            </w:r>
          </w:p>
        </w:tc>
        <w:tc>
          <w:tcPr>
            <w:tcW w:w="1871" w:type="dxa"/>
            <w:tcBorders>
              <w:top w:val="single" w:sz="4" w:space="0" w:color="000000"/>
              <w:left w:val="single" w:sz="4" w:space="0" w:color="000000"/>
              <w:bottom w:val="single" w:sz="4" w:space="0" w:color="000000"/>
              <w:right w:val="single" w:sz="4" w:space="0" w:color="000000"/>
            </w:tcBorders>
            <w:vAlign w:val="center"/>
          </w:tcPr>
          <w:p>
            <w: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Pr>
          <w:p>
            <w:r>
              <w:t>(0.0034)</w:t>
            </w:r>
          </w:p>
        </w:tc>
        <w:tc>
          <w:tcPr>
            <w:tcW w:w="1871" w:type="dxa"/>
            <w:tcBorders>
              <w:top w:val="single" w:sz="4" w:space="0" w:color="000000"/>
              <w:left w:val="single" w:sz="4" w:space="0" w:color="000000"/>
              <w:bottom w:val="single" w:sz="4" w:space="0" w:color="000000"/>
              <w:right w:val="single" w:sz="4" w:space="0" w:color="000000"/>
            </w:tcBorders>
            <w:vAlign w:val="center"/>
          </w:tcPr>
          <w:p>
            <w:r>
              <w:t>(0.0118)</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p-утга</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Pr>
          <w:p>
            <w:r>
              <w:t>4.8%</w:t>
            </w:r>
          </w:p>
        </w:tc>
        <w:tc>
          <w:tcPr>
            <w:tcW w:w="1871" w:type="dxa"/>
            <w:tcBorders>
              <w:top w:val="single" w:sz="4" w:space="0" w:color="000000"/>
              <w:left w:val="single" w:sz="4" w:space="0" w:color="000000"/>
              <w:bottom w:val="single" w:sz="4" w:space="0" w:color="000000"/>
              <w:right w:val="single" w:sz="4" w:space="0" w:color="000000"/>
            </w:tcBorders>
            <w:vAlign w:val="center"/>
          </w:tcPr>
          <w:p>
            <w:r>
              <w:t>10.9%</w:t>
            </w:r>
          </w:p>
        </w:tc>
        <w:tc>
          <w:tcPr>
            <w:tcW w:w="1871" w:type="dxa"/>
            <w:tcBorders>
              <w:top w:val="single" w:sz="4" w:space="0" w:color="000000"/>
              <w:left w:val="single" w:sz="4" w:space="0" w:color="000000"/>
              <w:bottom w:val="single" w:sz="4" w:space="0" w:color="000000"/>
              <w:right w:val="single" w:sz="4" w:space="0" w:color="000000"/>
            </w:tcBorders>
            <w:vAlign w:val="center"/>
          </w:tcPr>
          <w:p>
            <w: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Pr>
          <w:p>
            <w: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Pr>
          <w:p>
            <w: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Pr>
          <w:p>
            <w: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Pr>
          <w:p>
            <w: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Pr>
          <w:p>
            <w:r>
              <w:t>Үндсэн харьцуулалт</w:t>
            </w:r>
          </w:p>
        </w:tc>
      </w:tr>
    </w:tbl>
    <w:p w14:paraId="1FA3F210" w14:textId="77777777" w:rsidR="000B782D" w:rsidRDefault="0018275F">
      <w:pPr>
        <w:spacing w:before="60" w:after="0" w:line="264" w:lineRule="auto"/>
      </w:pPr>
      <w: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60" w:after="240" w:line="276" w:lineRule="auto"/>
      </w:pPr>
      <w:r>
        <w:t>Эх сурвалж: Оюутны тооцоолол</w:t>
      </w:r>
    </w:p>
    <w:p w14:paraId="1EFA450C" w14:textId="77777777" w:rsidR="000B782D" w:rsidRDefault="0018275F">
      <w:pPr>
        <w:ind w:firstLine="567"/>
      </w:pPr>
      <w:r>
        <w:t>Зураг 3  ЭХБК ба ХШХБК үнэлгээний харьцуулалт</w:t>
      </w:r>
    </w:p>
    <w:p w14:paraId="02378FA4" w14:textId="77777777" w:rsidR="000B782D" w:rsidRDefault="0018275F">
      <w:pPr>
        <w:spacing w:after="120"/>
        <w:jc w:val="center"/>
      </w:pPr>
      <w:r>
        <w:drawing>
          <wp:inline xmlns:a="http://schemas.openxmlformats.org/drawingml/2006/main" xmlns:pic="http://schemas.openxmlformats.org/drawingml/2006/picture">
            <wp:extent cx="5303520" cy="3756660"/>
            <wp:docPr id="18" name="Picture 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56660"/>
                    </a:xfrm>
                    <a:prstGeom prst="rect"/>
                  </pic:spPr>
                </pic:pic>
              </a:graphicData>
            </a:graphic>
          </wp:inline>
        </w:drawing>
      </w:r>
    </w:p>
    <w:p w14:paraId="288E357C" w14:textId="77777777" w:rsidR="000B782D" w:rsidRDefault="0018275F">
      <w:pPr>
        <w:ind w:firstLine="567"/>
      </w:pPr>
      <w:r>
        <w:t>Зураг 3-аас харахад хэрэгсэл хувьсагчтай үнэлгээ нь ЭХБК-ийн суурь холбооноос хоёр дахин өндөр байна. Энэ ялгаа нь боловсролын жилийн хувьсагч санамсаргүй бус сонгогддог, мөн хэмжилтийн алдаа болон гэр бүлийн суурь нөхцөл боловсролын коэффициентийг хазайлгах боломжтойг харуулна. Иймээс дараагийн босго шинжилгээнд боловсролыг эндоген тайлбарлагч гэж үзэж, хэрэгсэл хувьсагчтай үнэлгээг хадгалсан.</w:t>
      </w:r>
    </w:p>
    <w:p w14:paraId="72A6A4A5" w14:textId="77777777" w:rsidR="000B782D" w:rsidRDefault="0018275F">
      <w:pPr>
        <w:pStyle w:val="Heading2"/>
        <w:spacing w:before="240" w:after="60" w:line="276" w:lineRule="auto"/>
      </w:pPr>
      <w:r>
        <w:t>4.2. Эхний шат ба хэрэгсэл хувьсагчийн хүч</w:t>
      </w:r>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r>
              <w:t>t/F</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Pr>
          <w:p>
            <w:r>
              <w:t>0.3623</w:t>
            </w:r>
          </w:p>
        </w:tc>
        <w:tc>
          <w:tcPr>
            <w:tcW w:w="1474" w:type="dxa"/>
            <w:tcBorders>
              <w:top w:val="single" w:sz="4" w:space="0" w:color="000000"/>
              <w:left w:val="single" w:sz="4" w:space="0" w:color="000000"/>
              <w:bottom w:val="single" w:sz="4" w:space="0" w:color="000000"/>
              <w:right w:val="single" w:sz="4" w:space="0" w:color="000000"/>
            </w:tcBorders>
            <w:vAlign w:val="center"/>
          </w:tcPr>
          <w:p>
            <w:r>
              <w:t>0.0153</w:t>
            </w:r>
          </w:p>
        </w:tc>
        <w:tc>
          <w:tcPr>
            <w:tcW w:w="1361" w:type="dxa"/>
            <w:tcBorders>
              <w:top w:val="single" w:sz="4" w:space="0" w:color="000000"/>
              <w:left w:val="single" w:sz="4" w:space="0" w:color="000000"/>
              <w:bottom w:val="single" w:sz="4" w:space="0" w:color="000000"/>
              <w:right w:val="single" w:sz="4" w:space="0" w:color="000000"/>
            </w:tcBorders>
            <w:vAlign w:val="center"/>
          </w:tcPr>
          <w:p>
            <w:r>
              <w:t>t = 23.63</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r>
              <w:t>558.45</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F = 558.45</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Pr>
          <w:p>
            <w: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Pr>
          <w:p>
            <w: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22 кластер</w:t>
            </w:r>
          </w:p>
        </w:tc>
      </w:tr>
    </w:tbl>
    <w:p w14:paraId="0B04BC8E" w14:textId="77777777" w:rsidR="000B782D" w:rsidRDefault="0018275F">
      <w:pPr>
        <w:spacing w:before="60" w:after="0" w:line="264" w:lineRule="auto"/>
      </w:pPr>
      <w: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нь сул хэрэгсэл хувьсагчийн уламжлалт босго болох 10-аас үлэмж өндөр тул хамаарлын нөхцөл хангагдсан гэж үзэх үндэслэлтэй.</w:t>
      </w:r>
    </w:p>
    <w:p w14:paraId="4FC23AD9" w14:textId="77777777" w:rsidR="000B782D" w:rsidRDefault="0018275F">
      <w:pPr>
        <w:spacing w:before="60" w:after="240" w:line="276" w:lineRule="auto"/>
      </w:pPr>
      <w:r>
        <w:t>Хүснэгт 4  Эцэг, эхийн боловсролын дундажийн эхний шатны шалгалт</w:t>
      </w:r>
    </w:p>
    <w:p w14:paraId="69588538" w14:textId="77777777" w:rsidR="000B782D" w:rsidRDefault="0018275F">
      <w:pPr>
        <w:ind w:firstLine="567"/>
      </w:pPr>
      <w: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ind w:firstLine="567"/>
      </w:pPr>
      <w:r>
        <w:t>Эх сурвалж: Оюутны тооцоолол</w:t>
      </w:r>
    </w:p>
    <w:p w14:paraId="66B63877" w14:textId="77777777" w:rsidR="000B782D" w:rsidRDefault="0018275F">
      <w:pPr>
        <w:spacing w:after="120"/>
      </w:pPr>
      <w: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ind w:firstLine="567"/>
      </w:pPr>
      <w:r>
        <w:t>4.3. Босгоны сүлжээн хайлт</w:t>
      </w:r>
    </w:p>
    <w:p w14:paraId="7B592403" w14:textId="77777777" w:rsidR="000B782D" w:rsidRDefault="0018275F">
      <w:pPr>
        <w:spacing w:before="60" w:after="60" w:line="276" w:lineRule="auto"/>
      </w:pPr>
      <w:r>
        <w:t>ХХБР үнэлгээний дараагийн алхам нь 17–18 насны сурагч-багшийн дундаж харьцааны боломжит босго утгуудыг сүлжээн хайлтаар шалгах явдал юм.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хамгийн бага нэгтгэн агшаасан алдааны квадратын нийлбэртэй утга 19.53 сурагч/багш дээр тогтов.</w:t>
      </w:r>
    </w:p>
    <w:p w14:paraId="25C78B7D" w14:textId="77777777" w:rsidR="00313831" w:rsidRDefault="00F44A9E">
      <w:pPr/>
      <w:r>
        <w:t>Зураг 4  Босгоны сүлжээн хайлтын үр дүн</w:t>
      </w:r>
    </w:p>
    <w:p w14:paraId="733F12BF" w14:textId="6ACD88F2" w:rsidR="000B782D" w:rsidRDefault="0018275F">
      <w:pPr>
        <w:spacing w:before="60" w:after="240" w:line="276" w:lineRule="auto"/>
        <w:jc w:val="center"/>
        <w:rPr>
          <w:i/>
          <w:sz w:val="20"/>
        </w:rPr>
      </w:pPr>
      <w:r>
        <w:drawing>
          <wp:inline xmlns:a="http://schemas.openxmlformats.org/drawingml/2006/main" xmlns:pic="http://schemas.openxmlformats.org/drawingml/2006/picture">
            <wp:extent cx="5303520" cy="3447288"/>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447288"/>
                    </a:xfrm>
                    <a:prstGeom prst="rect"/>
                  </pic:spPr>
                </pic:pic>
              </a:graphicData>
            </a:graphic>
          </wp:inline>
        </w:drawing>
      </w:r>
    </w:p>
    <w:p w14:paraId="6A0BABD0" w14:textId="2CAE3144" w:rsidR="00371247" w:rsidRDefault="00371247">
      <w:pPr>
        <w:spacing w:before="60" w:after="240" w:line="276" w:lineRule="auto"/>
        <w:rPr>
          <w:i/>
          <w:sz w:val="20"/>
        </w:rPr>
      </w:pPr>
      <w:r>
        <w:t>Эх сурвалж: Оюутны тооцоолол</w:t>
      </w:r>
    </w:p>
    <w:p w14:paraId="31A4D7FE" w14:textId="77777777" w:rsidR="00371247" w:rsidRDefault="00371247">
      <w:pPr>
        <w:spacing w:before="60" w:after="240" w:line="276" w:lineRule="auto"/>
      </w:pPr>
      <w: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240" w:after="60" w:line="276" w:lineRule="auto"/>
      </w:pPr>
      <w:r>
        <w:t>Хүснэгт 5  ХХБР үндсэн үнэлгээний үр дүн</w:t>
      </w:r>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Pr>
          <w:p>
            <w: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Pr>
          <w:p>
            <w: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Pr>
          <w:p>
            <w:r>
              <w:t>Сургуулийн орчны ачааллын босго</w:t>
            </w:r>
          </w:p>
        </w:tc>
      </w:tr>
    </w:tbl>
    <w:p w14:paraId="2DCD4FE0" w14:textId="77777777" w:rsidR="000B782D" w:rsidRDefault="0018275F">
      <w:pPr>
        <w:spacing w:before="60" w:after="0" w:line="264" w:lineRule="auto"/>
      </w:pPr>
      <w: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60" w:after="240" w:line="276" w:lineRule="auto"/>
      </w:pPr>
      <w:r>
        <w:t>Эх сурвалж: Оюутны тооцоолол</w:t>
      </w:r>
    </w:p>
    <w:p w14:paraId="557A4245" w14:textId="77777777" w:rsidR="000B782D" w:rsidRDefault="0018275F">
      <w:pPr>
        <w:pStyle w:val="Heading2"/>
        <w:spacing w:before="60" w:after="60" w:line="276" w:lineRule="auto"/>
      </w:pPr>
      <w:r>
        <w:t>4.4. Регим тус бүрийн боловсролын өгөөж</w:t>
      </w:r>
    </w:p>
    <w:p w14:paraId="4E4D2CC7" w14:textId="77777777" w:rsidR="00313831" w:rsidRDefault="00F44A9E">
      <w:pPr/>
      <w: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сурагч-багшийн харьцаа өндөр сургуулийн орчинд өссөн ажиллагчдын хувьд боловсролын цалингийн өгөөж 3.1 нэгж хувиар өндөр байна.</w:t>
      </w:r>
    </w:p>
    <w:p w14:paraId="01BBB4B9" w14:textId="77777777" w:rsidR="000B782D" w:rsidRDefault="0018275F">
      <w:pPr>
        <w:ind w:firstLine="567"/>
      </w:pPr>
      <w:r>
        <w:t>Зураг 5  Босгоор ялгасан боловсролын өгөөж</w:t>
      </w:r>
    </w:p>
    <w:p w14:paraId="1910DC4D" w14:textId="77777777" w:rsidR="000B782D" w:rsidRDefault="0018275F">
      <w:pPr>
        <w:spacing w:before="60" w:after="240" w:line="276" w:lineRule="auto"/>
        <w:jc w:val="center"/>
      </w:pPr>
      <w:r>
        <w:drawing>
          <wp:inline xmlns:a="http://schemas.openxmlformats.org/drawingml/2006/main" xmlns:pic="http://schemas.openxmlformats.org/drawingml/2006/picture">
            <wp:extent cx="5303520" cy="375666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756660"/>
                    </a:xfrm>
                    <a:prstGeom prst="rect"/>
                  </pic:spPr>
                </pic:pic>
              </a:graphicData>
            </a:graphic>
          </wp:inline>
        </w:drawing>
      </w:r>
    </w:p>
    <w:p w14:paraId="36E02734" w14:textId="77777777" w:rsidR="000B782D" w:rsidRDefault="0018275F">
      <w:pPr>
        <w:ind w:firstLine="567"/>
      </w:pPr>
      <w:r>
        <w:t>Эх сурвалж: Оюутны тооцоолол</w:t>
      </w:r>
    </w:p>
    <w:p w14:paraId="504CCD55" w14:textId="77777777" w:rsidR="000B782D" w:rsidRDefault="0018275F">
      <w:pPr>
        <w:ind w:firstLine="567"/>
      </w:pPr>
      <w: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ind w:firstLine="567"/>
      </w:pPr>
      <w:r>
        <w:t>4.5. Бүүтстрап бат бөх байдлын шинжилгээ</w:t>
      </w:r>
    </w:p>
    <w:p w14:paraId="72387932" w14:textId="77777777" w:rsidR="000B782D" w:rsidRDefault="0018275F">
      <w:pPr>
        <w:ind w:firstLine="567"/>
      </w:pPr>
      <w: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 болохыг харуулна.</w:t>
      </w:r>
    </w:p>
    <w:p w14:paraId="7B8E5BC3" w14:textId="5624EA88" w:rsidR="000B782D" w:rsidRDefault="000B782D">
      <w:pPr>
        <w:ind w:firstLine="567"/>
      </w:pPr>
      <w:r>
        <w:t>Зураг 6  Босго утгын бүүтстрап тархалт</w:t>
      </w:r>
    </w:p>
    <w:p w14:paraId="61464064" w14:textId="15D7CE5A" w:rsidR="00371247" w:rsidRDefault="00371247">
      <w:pPr>
        <w:ind w:firstLine="567"/>
        <w:jc w:val="center"/>
      </w:pPr>
      <w:r>
        <w:drawing>
          <wp:inline xmlns:a="http://schemas.openxmlformats.org/drawingml/2006/main" xmlns:pic="http://schemas.openxmlformats.org/drawingml/2006/picture">
            <wp:extent cx="5303520" cy="3447288"/>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447288"/>
                    </a:xfrm>
                    <a:prstGeom prst="rect"/>
                  </pic:spPr>
                </pic:pic>
              </a:graphicData>
            </a:graphic>
          </wp:inline>
        </w:drawing>
      </w:r>
    </w:p>
    <w:p w14:paraId="1313FDA2" w14:textId="77777777" w:rsidR="00371247" w:rsidRDefault="00371247">
      <w:pPr>
        <w:ind w:firstLine="567"/>
      </w:pPr>
      <w:r>
        <w:t>Эх сурвалж: Оюутны тооцоолол</w:t>
      </w:r>
    </w:p>
    <w:p w14:paraId="1F63378F" w14:textId="77777777" w:rsidR="000B782D" w:rsidRDefault="0018275F">
      <w:pPr>
        <w:spacing w:before="60" w:after="60" w:line="276" w:lineRule="auto"/>
      </w:pPr>
      <w: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r>
        <w:t>Зураг 7  Регимүүдийн өгөөжийн зөрүүний бүүтстрап тархалт</w:t>
      </w:r>
    </w:p>
    <w:p w14:paraId="5D86DC7D" w14:textId="1CD34B71" w:rsidR="00371247" w:rsidRDefault="00371247" w:rsidP="00371247">
      <w:pPr>
        <w:spacing w:before="60" w:after="240" w:line="276" w:lineRule="auto"/>
        <w:jc w:val="center"/>
      </w:pPr>
      <w:r>
        <w:drawing>
          <wp:inline xmlns:a="http://schemas.openxmlformats.org/drawingml/2006/main" xmlns:pic="http://schemas.openxmlformats.org/drawingml/2006/picture">
            <wp:extent cx="5303520" cy="3447288"/>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447288"/>
                    </a:xfrm>
                    <a:prstGeom prst="rect"/>
                  </pic:spPr>
                </pic:pic>
              </a:graphicData>
            </a:graphic>
          </wp:inline>
        </w:drawing>
      </w:r>
    </w:p>
    <w:p w14:paraId="79AD1C6F" w14:textId="77777777" w:rsidR="000B782D" w:rsidRDefault="0018275F" w:rsidP="00371247">
      <w:pPr>
        <w:spacing w:after="60"/>
      </w:pPr>
      <w:r>
        <w:t>Эх сурвалж: Оюутны тооцоолол</w:t>
      </w:r>
    </w:p>
    <w:p w14:paraId="1251C7C8" w14:textId="77777777" w:rsidR="000B782D" w:rsidRDefault="0018275F">
      <w:pPr>
        <w:spacing w:after="120"/>
      </w:pPr>
      <w:r>
        <w:t>Хүснэгт 6  Бүүтстрап дүгнэлтийн нэгтгэл</w:t>
      </w:r>
    </w:p>
    <w:p w14:paraId="6669F303" w14:textId="77777777" w:rsidR="000B782D" w:rsidRDefault="0018275F">
      <w:pPr>
        <w:ind w:firstLine="567"/>
      </w:pPr>
      <w: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ind w:firstLine="567"/>
      </w:pPr>
      <w:r>
        <w:t>Эх сурвалж: Оюутны тооцоолол</w:t>
      </w:r>
    </w:p>
    <w:p w14:paraId="57722CC4" w14:textId="77777777" w:rsidR="000B782D" w:rsidRDefault="0018275F">
      <w:pPr>
        <w:pStyle w:val="Heading2"/>
        <w:spacing w:before="240" w:after="60" w:line="276" w:lineRule="auto"/>
      </w:pPr>
      <w:r>
        <w:t>4.6. Эконометрик үр дүнгийн нэгдсэн дүгнэлт</w:t>
      </w:r>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Pr>
          <w:p>
            <w:r>
              <w:t>399</w:t>
            </w:r>
          </w:p>
        </w:tc>
        <w:tc>
          <w:tcPr>
            <w:tcW w:w="2098" w:type="dxa"/>
            <w:tcBorders>
              <w:top w:val="single" w:sz="4" w:space="0" w:color="000000"/>
              <w:left w:val="single" w:sz="4" w:space="0" w:color="000000"/>
              <w:bottom w:val="single" w:sz="4" w:space="0" w:color="000000"/>
              <w:right w:val="single" w:sz="4" w:space="0" w:color="000000"/>
            </w:tcBorders>
            <w:vAlign w:val="center"/>
          </w:tcPr>
          <w:p>
            <w: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Pr>
          <w:p>
            <w: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2.5%</w:t>
            </w:r>
          </w:p>
        </w:tc>
        <w:tc>
          <w:tcPr>
            <w:tcW w:w="2098" w:type="dxa"/>
            <w:tcBorders>
              <w:top w:val="single" w:sz="4" w:space="0" w:color="000000"/>
              <w:left w:val="single" w:sz="4" w:space="0" w:color="000000"/>
              <w:bottom w:val="single" w:sz="4" w:space="0" w:color="000000"/>
              <w:right w:val="single" w:sz="4" w:space="0" w:color="000000"/>
            </w:tcBorders>
            <w:vAlign w:val="center"/>
          </w:tcPr>
          <w:p>
            <w:r>
              <w:t>18.48</w:t>
            </w:r>
          </w:p>
        </w:tc>
        <w:tc>
          <w:tcPr>
            <w:tcW w:w="2098" w:type="dxa"/>
            <w:tcBorders>
              <w:top w:val="single" w:sz="4" w:space="0" w:color="000000"/>
              <w:left w:val="single" w:sz="4" w:space="0" w:color="000000"/>
              <w:bottom w:val="single" w:sz="4" w:space="0" w:color="000000"/>
              <w:right w:val="single" w:sz="4" w:space="0" w:color="000000"/>
            </w:tcBorders>
            <w:vAlign w:val="center"/>
          </w:tcPr>
          <w:p>
            <w: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Pr>
          <w:p>
            <w: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Pr>
          <w:p>
            <w:r>
              <w:t>25.53</w:t>
            </w:r>
          </w:p>
        </w:tc>
        <w:tc>
          <w:tcPr>
            <w:tcW w:w="2098" w:type="dxa"/>
            <w:tcBorders>
              <w:top w:val="single" w:sz="4" w:space="0" w:color="000000"/>
              <w:left w:val="single" w:sz="4" w:space="0" w:color="000000"/>
              <w:bottom w:val="single" w:sz="4" w:space="0" w:color="000000"/>
              <w:right w:val="single" w:sz="4" w:space="0" w:color="000000"/>
            </w:tcBorders>
            <w:vAlign w:val="center"/>
          </w:tcPr>
          <w:p>
            <w: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Pr>
          <w:p>
            <w: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Pr>
          <w:p>
            <w:r>
              <w:t>[0.0558; 0.1173]</w:t>
            </w:r>
          </w:p>
        </w:tc>
        <w:tc>
          <w:tcPr>
            <w:tcW w:w="2098" w:type="dxa"/>
            <w:tcBorders>
              <w:top w:val="single" w:sz="4" w:space="0" w:color="000000"/>
              <w:left w:val="single" w:sz="4" w:space="0" w:color="000000"/>
              <w:bottom w:val="single" w:sz="4" w:space="0" w:color="000000"/>
              <w:right w:val="single" w:sz="4" w:space="0" w:color="000000"/>
            </w:tcBorders>
            <w:vAlign w:val="center"/>
          </w:tcPr>
          <w:p>
            <w: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Pr>
          <w:p>
            <w: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Pr>
          <w:p>
            <w:r>
              <w:t>[0.0044; 0.0608]</w:t>
            </w:r>
          </w:p>
        </w:tc>
        <w:tc>
          <w:tcPr>
            <w:tcW w:w="2098" w:type="dxa"/>
            <w:tcBorders>
              <w:top w:val="single" w:sz="4" w:space="0" w:color="000000"/>
              <w:left w:val="single" w:sz="4" w:space="0" w:color="000000"/>
              <w:bottom w:val="single" w:sz="4" w:space="0" w:color="000000"/>
              <w:right w:val="single" w:sz="4" w:space="0" w:color="000000"/>
            </w:tcBorders>
            <w:vAlign w:val="center"/>
          </w:tcPr>
          <w:p>
            <w: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Pr>
          <w:p>
            <w: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Pr>
          <w:p>
            <w: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Pr>
          <w:p>
            <w:r>
              <w:t>B=399 тул болгоомжтой тайлбарлана</w:t>
            </w:r>
          </w:p>
        </w:tc>
      </w:tr>
    </w:tbl>
    <w:p w14:paraId="14895267" w14:textId="77777777" w:rsidR="000B782D" w:rsidRDefault="0018275F">
      <w:pPr>
        <w:spacing w:before="60" w:after="240" w:line="276" w:lineRule="auto"/>
      </w:pPr>
      <w:r>
        <w:t>Хүснэгт 7  Загваруудын нэгдсэн үр дүн</w:t>
      </w:r>
    </w:p>
    <w:p w14:paraId="732AF462" w14:textId="77777777" w:rsidR="000B782D" w:rsidRDefault="0018275F">
      <w:pPr>
        <w:ind w:firstLine="567"/>
      </w:pPr>
      <w:r>
        <w:t>Эх сурвалж: Оюутны тооцоолол</w:t>
      </w:r>
    </w:p>
    <w:p w14:paraId="51EE51EE" w14:textId="77777777" w:rsidR="000B782D" w:rsidRDefault="0018275F">
      <w:pPr>
        <w:ind w:firstLine="567"/>
      </w:pPr>
      <w: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r>
        <w:t>Хүснэгт 8  Эцсийн түүврийн оношилгоо</w:t>
      </w:r>
    </w:p>
    <w:p w14:paraId="6630CD55" w14:textId="77777777" w:rsidR="00972FBE" w:rsidRDefault="00D33DC4">
      <w:pPr/>
      <w:r>
        <w:t>Эх сурвалж: Оюутны тооцоолол</w:t>
      </w:r>
    </w:p>
    <w:p w14:paraId="7942340E" w14:textId="77777777" w:rsidR="00972FBE" w:rsidRDefault="00D33DC4">
      <w:pPr/>
      <w: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pPr>
      <w:r>
        <w:t>Хүснэгт 9  Босгоны мэдрэмж ба тайлбарын хүрээ</w:t>
      </w:r>
    </w:p>
    <w:p w14:paraId="0DFC5964" w14:textId="77777777" w:rsidR="000B782D" w:rsidRDefault="0018275F">
      <w:pPr>
        <w:spacing w:before="240" w:after="60" w:line="276" w:lineRule="auto"/>
      </w:pPr>
      <w:r>
        <w:t>Эх сурвалж: Оюутны тооцоолол</w:t>
      </w:r>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r>
              <w:t>β</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r>
              <w:t>Өгөөж (%)</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0.0472</w:t>
            </w:r>
          </w:p>
        </w:tc>
        <w:tc>
          <w:tcPr>
            <w:tcW w:w="1587" w:type="dxa"/>
            <w:tcBorders>
              <w:top w:val="single" w:sz="4" w:space="0" w:color="000000"/>
              <w:left w:val="single" w:sz="4" w:space="0" w:color="000000"/>
              <w:bottom w:val="single" w:sz="4" w:space="0" w:color="000000"/>
              <w:right w:val="single" w:sz="4" w:space="0" w:color="000000"/>
            </w:tcBorders>
            <w:vAlign w:val="center"/>
          </w:tcPr>
          <w:p>
            <w:r>
              <w:t>4.8</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ХШХБК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0.1033</w:t>
            </w:r>
          </w:p>
        </w:tc>
        <w:tc>
          <w:tcPr>
            <w:tcW w:w="1587" w:type="dxa"/>
            <w:tcBorders>
              <w:top w:val="single" w:sz="4" w:space="0" w:color="000000"/>
              <w:left w:val="single" w:sz="4" w:space="0" w:color="000000"/>
              <w:bottom w:val="single" w:sz="4" w:space="0" w:color="000000"/>
              <w:right w:val="single" w:sz="4" w:space="0" w:color="000000"/>
            </w:tcBorders>
            <w:vAlign w:val="center"/>
          </w:tcPr>
          <w:p>
            <w:r>
              <w:t>10.9</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доод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1,051</w:t>
            </w:r>
          </w:p>
        </w:tc>
        <w:tc>
          <w:tcPr>
            <w:tcW w:w="1984" w:type="dxa"/>
            <w:tcBorders>
              <w:top w:val="single" w:sz="4" w:space="0" w:color="000000"/>
              <w:left w:val="single" w:sz="4" w:space="0" w:color="000000"/>
              <w:bottom w:val="single" w:sz="4" w:space="0" w:color="000000"/>
              <w:right w:val="single" w:sz="4" w:space="0" w:color="000000"/>
            </w:tcBorders>
            <w:vAlign w:val="center"/>
          </w:tcPr>
          <w:p>
            <w:r>
              <w:t>0.0784</w:t>
            </w:r>
          </w:p>
        </w:tc>
        <w:tc>
          <w:tcPr>
            <w:tcW w:w="1587"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дээд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2,137</w:t>
            </w:r>
          </w:p>
        </w:tc>
        <w:tc>
          <w:tcPr>
            <w:tcW w:w="1984" w:type="dxa"/>
            <w:tcBorders>
              <w:top w:val="single" w:sz="4" w:space="0" w:color="000000"/>
              <w:left w:val="single" w:sz="4" w:space="0" w:color="000000"/>
              <w:bottom w:val="single" w:sz="4" w:space="0" w:color="000000"/>
              <w:right w:val="single" w:sz="4" w:space="0" w:color="000000"/>
            </w:tcBorders>
            <w:vAlign w:val="center"/>
          </w:tcPr>
          <w:p>
            <w:r>
              <w:t>0.1094</w:t>
            </w:r>
          </w:p>
        </w:tc>
        <w:tc>
          <w:tcPr>
            <w:tcW w:w="1587"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Регимийн зөрүү</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0.0310</w:t>
            </w:r>
          </w:p>
        </w:tc>
        <w:tc>
          <w:tcPr>
            <w:tcW w:w="1587" w:type="dxa"/>
            <w:tcBorders>
              <w:top w:val="single" w:sz="4" w:space="0" w:color="000000"/>
              <w:left w:val="single" w:sz="4" w:space="0" w:color="000000"/>
              <w:bottom w:val="single" w:sz="4" w:space="0" w:color="000000"/>
              <w:right w:val="single" w:sz="4" w:space="0" w:color="000000"/>
            </w:tcBorders>
            <w:vAlign w:val="center"/>
          </w:tcPr>
          <w:p>
            <w:r>
              <w:t>3.1 нэгж хувь</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558.45</w:t>
            </w:r>
          </w:p>
        </w:tc>
        <w:tc>
          <w:tcPr>
            <w:tcW w:w="1587" w:type="dxa"/>
            <w:tcBorders>
              <w:top w:val="single" w:sz="4" w:space="0" w:color="000000"/>
              <w:left w:val="single" w:sz="4" w:space="0" w:color="000000"/>
              <w:bottom w:val="single" w:sz="4" w:space="0" w:color="000000"/>
              <w:right w:val="single" w:sz="4" w:space="0" w:color="000000"/>
            </w:tcBorders>
            <w:vAlign w:val="center"/>
          </w:tcPr>
          <w:p>
            <w:r>
              <w:t>Сул IV биш</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Босго γ</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19.53</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Сурагч/багш</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Bootstrap p</w:t>
            </w:r>
          </w:p>
        </w:tc>
        <w:tc>
          <w:tcPr>
            <w:tcW w:w="1814" w:type="dxa"/>
            <w:tcBorders>
              <w:top w:val="single" w:sz="4" w:space="0" w:color="000000"/>
              <w:left w:val="single" w:sz="4" w:space="0" w:color="000000"/>
              <w:bottom w:val="single" w:sz="4" w:space="0" w:color="000000"/>
              <w:right w:val="single" w:sz="4" w:space="0" w:color="000000"/>
            </w:tcBorders>
            <w:vAlign w:val="center"/>
          </w:tcPr>
          <w:p>
            <w:r>
              <w:t>399 давталт</w:t>
            </w:r>
          </w:p>
        </w:tc>
        <w:tc>
          <w:tcPr>
            <w:tcW w:w="1984" w:type="dxa"/>
            <w:tcBorders>
              <w:top w:val="single" w:sz="4" w:space="0" w:color="000000"/>
              <w:left w:val="single" w:sz="4" w:space="0" w:color="000000"/>
              <w:bottom w:val="single" w:sz="4" w:space="0" w:color="000000"/>
              <w:right w:val="single" w:sz="4" w:space="0" w:color="000000"/>
            </w:tcBorders>
            <w:vAlign w:val="center"/>
          </w:tcPr>
          <w:p>
            <w:r>
              <w:t>0.0451</w:t>
            </w:r>
          </w:p>
        </w:tc>
        <w:tc>
          <w:tcPr>
            <w:tcW w:w="1587" w:type="dxa"/>
            <w:tcBorders>
              <w:top w:val="single" w:sz="4" w:space="0" w:color="000000"/>
              <w:left w:val="single" w:sz="4" w:space="0" w:color="000000"/>
              <w:bottom w:val="single" w:sz="4" w:space="0" w:color="000000"/>
              <w:right w:val="single" w:sz="4" w:space="0" w:color="000000"/>
            </w:tcBorders>
            <w:vAlign w:val="center"/>
          </w:tcPr>
          <w:p>
            <w:r>
              <w:t>5%-ийн түвшинд</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Гол тайлбар</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Сургуулийн орчны регимийн ялгаа</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Шууд шалтгаан гэж тайлбарлахгүй</w:t>
            </w:r>
          </w:p>
        </w:tc>
      </w:tr>
    </w:tbl>
    <w:p w14:paraId="0784DC62" w14:textId="77777777" w:rsidR="000B782D" w:rsidRDefault="0018275F">
      <w:pPr>
        <w:spacing w:before="60" w:after="240" w:line="276" w:lineRule="auto"/>
      </w:pPr>
      <w: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Доод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Төв утга</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Дээд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Дүгнэлт</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w:t>
            </w:r>
          </w:p>
        </w:tc>
        <w:tc>
          <w:tcPr>
            <w:tcW w:w="1304" w:type="dxa"/>
            <w:tcBorders>
              <w:top w:val="single" w:sz="4" w:space="0" w:color="000000"/>
              <w:left w:val="single" w:sz="4" w:space="0" w:color="000000"/>
              <w:bottom w:val="single" w:sz="4" w:space="0" w:color="000000"/>
              <w:right w:val="single" w:sz="4" w:space="0" w:color="000000"/>
            </w:tcBorders>
            <w:vAlign w:val="center"/>
          </w:tcPr>
          <w:p>
            <w:r>
              <w:t>3.79</w:t>
            </w:r>
          </w:p>
        </w:tc>
        <w:tc>
          <w:tcPr>
            <w:tcW w:w="1814" w:type="dxa"/>
            <w:tcBorders>
              <w:top w:val="single" w:sz="4" w:space="0" w:color="000000"/>
              <w:left w:val="single" w:sz="4" w:space="0" w:color="000000"/>
              <w:bottom w:val="single" w:sz="4" w:space="0" w:color="000000"/>
              <w:right w:val="single" w:sz="4" w:space="0" w:color="000000"/>
            </w:tcBorders>
            <w:vAlign w:val="center"/>
          </w:tcPr>
          <w:p>
            <w:r>
              <w:t>20.51</w:t>
            </w:r>
          </w:p>
        </w:tc>
        <w:tc>
          <w:tcPr>
            <w:tcW w:w="1304" w:type="dxa"/>
            <w:tcBorders>
              <w:top w:val="single" w:sz="4" w:space="0" w:color="000000"/>
              <w:left w:val="single" w:sz="4" w:space="0" w:color="000000"/>
              <w:bottom w:val="single" w:sz="4" w:space="0" w:color="000000"/>
              <w:right w:val="single" w:sz="4" w:space="0" w:color="000000"/>
            </w:tcBorders>
            <w:vAlign w:val="center"/>
          </w:tcPr>
          <w:p>
            <w:r>
              <w:t>70.06</w:t>
            </w:r>
          </w:p>
        </w:tc>
        <w:tc>
          <w:tcPr>
            <w:tcW w:w="1814" w:type="dxa"/>
            <w:tcBorders>
              <w:top w:val="single" w:sz="4" w:space="0" w:color="000000"/>
              <w:left w:val="single" w:sz="4" w:space="0" w:color="000000"/>
              <w:bottom w:val="single" w:sz="4" w:space="0" w:color="000000"/>
              <w:right w:val="single" w:sz="4" w:space="0" w:color="000000"/>
            </w:tcBorders>
            <w:vAlign w:val="center"/>
          </w:tcPr>
          <w:p>
            <w:r>
              <w:t>Медиан нь 20.51</w:t>
            </w:r>
          </w:p>
        </w:tc>
        <w:tc>
          <w:tcPr>
            <w:tcW w:w="1134" w:type="dxa"/>
            <w:tcBorders>
              <w:top w:val="single" w:sz="4" w:space="0" w:color="000000"/>
              <w:left w:val="single" w:sz="4" w:space="0" w:color="000000"/>
              <w:bottom w:val="single" w:sz="4" w:space="0" w:color="000000"/>
              <w:right w:val="single" w:sz="4" w:space="0" w:color="000000"/>
            </w:tcBorders>
            <w:vAlign w:val="center"/>
          </w:tcPr>
          <w:p>
            <w:r>
              <w:t>Хэлбэлзэл хангалттай</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Босгоны хайлтын муж</w:t>
            </w:r>
          </w:p>
        </w:tc>
        <w:tc>
          <w:tcPr>
            <w:tcW w:w="1304" w:type="dxa"/>
            <w:tcBorders>
              <w:top w:val="single" w:sz="4" w:space="0" w:color="000000"/>
              <w:left w:val="single" w:sz="4" w:space="0" w:color="000000"/>
              <w:bottom w:val="single" w:sz="4" w:space="0" w:color="000000"/>
              <w:right w:val="single" w:sz="4" w:space="0" w:color="000000"/>
            </w:tcBorders>
            <w:vAlign w:val="center"/>
          </w:tcPr>
          <w:p>
            <w:r>
              <w:t>15%</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85%</w:t>
            </w:r>
          </w:p>
        </w:tc>
        <w:tc>
          <w:tcPr>
            <w:tcW w:w="1814" w:type="dxa"/>
            <w:tcBorders>
              <w:top w:val="single" w:sz="4" w:space="0" w:color="000000"/>
              <w:left w:val="single" w:sz="4" w:space="0" w:color="000000"/>
              <w:bottom w:val="single" w:sz="4" w:space="0" w:color="000000"/>
              <w:right w:val="single" w:sz="4" w:space="0" w:color="000000"/>
            </w:tcBorders>
            <w:vAlign w:val="center"/>
          </w:tcPr>
          <w:p>
            <w:r>
              <w:t>Хэт жижиг регимээс сэргийлсэн</w:t>
            </w:r>
          </w:p>
        </w:tc>
        <w:tc>
          <w:tcPr>
            <w:tcW w:w="1134" w:type="dxa"/>
            <w:tcBorders>
              <w:top w:val="single" w:sz="4" w:space="0" w:color="000000"/>
              <w:left w:val="single" w:sz="4" w:space="0" w:color="000000"/>
              <w:bottom w:val="single" w:sz="4" w:space="0" w:color="000000"/>
              <w:right w:val="single" w:sz="4" w:space="0" w:color="000000"/>
            </w:tcBorders>
            <w:vAlign w:val="center"/>
          </w:tcPr>
          <w:p>
            <w:r>
              <w:t>Зохистой</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Сонгогдсон босго</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19.53</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Зорилгын функцийн минимум</w:t>
            </w:r>
          </w:p>
        </w:tc>
        <w:tc>
          <w:tcPr>
            <w:tcW w:w="1134" w:type="dxa"/>
            <w:tcBorders>
              <w:top w:val="single" w:sz="4" w:space="0" w:color="000000"/>
              <w:left w:val="single" w:sz="4" w:space="0" w:color="000000"/>
              <w:bottom w:val="single" w:sz="4" w:space="0" w:color="000000"/>
              <w:right w:val="single" w:sz="4" w:space="0" w:color="000000"/>
            </w:tcBorders>
            <w:vAlign w:val="center"/>
          </w:tcPr>
          <w:p>
            <w:r>
              <w:t>Үндсэн босго</w:t>
            </w:r>
          </w:p>
        </w:tc>
      </w:tr>
      <w:tr>
        <w:tc>
          <w:tcPr>
            <w:tcW w:type="dxa" w:w="1417"/>
          </w:tcPr>
          <w:p>
            <w:r>
              <w:t>Боловсролтой корреляци</w:t>
            </w:r>
          </w:p>
        </w:tc>
        <w:tc>
          <w:tcPr>
            <w:tcW w:type="dxa" w:w="1304"/>
          </w:tcPr>
          <w:p>
            <w:r>
              <w:t>—</w:t>
            </w:r>
          </w:p>
        </w:tc>
        <w:tc>
          <w:tcPr>
            <w:tcW w:type="dxa" w:w="1814"/>
          </w:tcPr>
          <w:p>
            <w:r>
              <w:t>−0.049</w:t>
            </w:r>
          </w:p>
        </w:tc>
        <w:tc>
          <w:tcPr>
            <w:tcW w:type="dxa" w:w="1304"/>
          </w:tcPr>
          <w:p>
            <w:r>
              <w:t>—</w:t>
            </w:r>
          </w:p>
        </w:tc>
        <w:tc>
          <w:tcPr>
            <w:tcW w:type="dxa" w:w="1814"/>
          </w:tcPr>
          <w:p>
            <w:r>
              <w:t>Механик давхцал бага</w:t>
            </w:r>
          </w:p>
        </w:tc>
        <w:tc>
          <w:tcPr>
            <w:tcW w:type="dxa" w:w="1134"/>
          </w:tcPr>
          <w:p>
            <w:r>
              <w:t>Дэмжигдсэн</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