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4"/>
        </w:rPr>
        <w:t>I БҮЛЭГ. ОНОЛЫН УХАГДАХУУН</w:t>
      </w:r>
    </w:p>
    <w:p>
      <w:r>
        <w:rPr>
          <w:rFonts w:ascii="Times New Roman" w:hAnsi="Times New Roman" w:eastAsia="Times New Roman"/>
          <w:b/>
          <w:sz w:val="24"/>
        </w:rPr>
        <w:t>1.1. Хүмүүн капитал ба боловсролын цалингийн өгөөж</w:t>
      </w:r>
    </w:p>
    <w:p>
      <w:pPr>
        <w:spacing w:line="360" w:lineRule="auto" w:before="120" w:after="120"/>
        <w:ind w:firstLine="709"/>
        <w:jc w:val="both"/>
      </w:pPr>
      <w:r>
        <w:rPr>
          <w:rFonts w:ascii="Times New Roman" w:hAnsi="Times New Roman" w:eastAsia="Times New Roman"/>
          <w:b w:val="0"/>
          <w:sz w:val="24"/>
        </w:rPr>
        <w:t>Боловсролын эдийн засгийн үнэ цэнийг тайлбарлах үндсэн суурь нь хүмүүн капиталын онол юм. Энэ онолоор хувь хүн боловсрол, сургалт, эрүүл мэнд, хөдөлмөрийн ур чадвартаа хөрөнгө оруулснаар ирээдүйн бүтээмж, орлогоо нэмэгдүүлдэг гэж үздэг. Шульц (1961) боловсролыг эдийн засгийн өсөлт, хувь хүний бүтээмжийг өсгөх хөрөнгө оруулалтын хэлбэр гэж тайлбарласан бол Беккер (1964) боловсрол эзэмших шийдвэрийг зардал ба ирээдүйн өгөөжийн харьцуулалтаар ойлгож болно гэж үзсэн. Иймээс боловсролын жил нэмэгдэх нь зөвхөн дипломын тоо өсөх бус, хөдөлмөрийн зах зээл дээр ашиглагдах мэдлэг, сахилга бат, асуудал шийдвэрлэх чадвар, мэргэжлийн ур чадварын хуримтлал нэмэгдэж буйг илэрхийлнэ.</w:t>
      </w:r>
    </w:p>
    <w:p>
      <w:pPr>
        <w:spacing w:line="360" w:lineRule="auto" w:before="120" w:after="120"/>
        <w:ind w:firstLine="709"/>
        <w:jc w:val="both"/>
      </w:pPr>
      <w:r>
        <w:rPr>
          <w:rFonts w:ascii="Times New Roman" w:hAnsi="Times New Roman" w:eastAsia="Times New Roman"/>
          <w:b w:val="0"/>
          <w:sz w:val="24"/>
        </w:rPr>
        <w:t>Энэхүү онолыг эмпирик байдлаар шалгах хамгийн өргөн хэрэглэгддэг загвар нь Минсерийн цалингийн тэгшитгэл юм. Минсер (1974) хүний цалингийн логарифмыг боловсролын жил, хөдөлмөрийн туршлага, туршлагын квадрат зэрэг хувьсагчаар тайлбарлах боломжтойг харуулсан. Энэ хүрээнд боловсролын коэффициент нь боловсролын нэмэлт нэг жилийн дундаж цалингийн өгөөжийг илэрхийлдэг. Олон улсын судалгаанд боловсролын өгөөж ерөнхийдөө эерэг байдаг бөгөөд Псахаропулос ба Патринос (2018)-ын 139 орны мета-шинжилгээгээр боловсролын нэг жилийн хувийн дундаж өгөөж ойролцоогоор 9 хувь гэж нэгтгэсэн байна. Иймээс боловсрол ба цалин хоорондын эерэг холбоо нь онолын хувьд ч, эмпирик түвшинд ч үндэслэлтэй юм.</w:t>
      </w:r>
    </w:p>
    <w:p>
      <w:r>
        <w:rPr>
          <w:rFonts w:ascii="Times New Roman" w:hAnsi="Times New Roman" w:eastAsia="Times New Roman"/>
          <w:b/>
          <w:sz w:val="24"/>
        </w:rPr>
        <w:t>1.2. Боловсролын сонголтын эндоген шинж ба хэрэгсэл хувьсагч</w:t>
      </w:r>
    </w:p>
    <w:p>
      <w:pPr>
        <w:spacing w:line="360" w:lineRule="auto" w:before="120" w:after="120"/>
        <w:ind w:firstLine="709"/>
        <w:jc w:val="both"/>
      </w:pPr>
      <w:r>
        <w:rPr>
          <w:rFonts w:ascii="Times New Roman" w:hAnsi="Times New Roman" w:eastAsia="Times New Roman"/>
          <w:b w:val="0"/>
          <w:sz w:val="24"/>
        </w:rPr>
        <w:t>Гэсэн хэдий ч боловсролын өгөөжийг энгийн регрессээр шууд үнэлэхэд шалтгаант нөлөөг буруу тайлбарлах эрсдэл бий. Учир нь боловсролын жил нь санамсаргүй байдлаар тогтдоггүй. Ажиглагдахгүй төрөлхийн чадвар, суралцах хүсэл, гэр бүлийн орчин, эцэг эхийн боловсрол, амьдарч буй газрын сургуулийн хүртээмж зэрэг хүчин зүйлс боловсролын жилд ч, цалин орлогод ч зэрэг нөлөөлж болно. Ийм нөхцөлд ЭХБК үнэлгээ нь боловсролын бодит өгөөжийг хэт өсгөж эсвэл хэмжилтийн алдаанаас шалтгаалан дутуу үнэлж болзошгүй. Кард (1999) боловсролын өгөөжийг тайлбарлахдаа уг эндоген хазайлтыг заавал анхаарах шаардлагатайг онцолсон.</w:t>
      </w:r>
    </w:p>
    <w:p>
      <w:pPr>
        <w:spacing w:line="360" w:lineRule="auto" w:before="120" w:after="120"/>
        <w:ind w:firstLine="709"/>
        <w:jc w:val="both"/>
      </w:pPr>
      <w:r>
        <w:rPr>
          <w:rFonts w:ascii="Times New Roman" w:hAnsi="Times New Roman" w:eastAsia="Times New Roman"/>
          <w:b w:val="0"/>
          <w:sz w:val="24"/>
        </w:rPr>
        <w:t>Эндоген асуудлыг бууруулах нэг арга нь хэрэгсэл хувьсагч ашиглах явдал юм. Хэрэгсэл хувьсагч нь боловсролын жилтэй хүчтэй холбоотой боловч цалинд боловсролоор дамжихаас өөр сувгаар шууд нөлөөлөхгүй байх шаардлагатай. Олон улсын судалгаанд Ангрист ба Крюгер (1991) заавал суралцах насны хуулийг, Дюфло (2001) Индонез дахь сургуулийн барилгын бодлогын өөрчлөлтийг ашиглан боловсролын шалтгаант өгөөжийг үнэлсэн байдаг. Энэхүү судалгаанд эцэг, эхийн боловсролын дундажийг хэрэгсэл хувьсагчаар авч үзэж байгаа нь хүүхдийн боловсрол үргэлжлүүлэх боломж, мэдээлэл, суралцах хандлагатай холбоотой гэж үзэж болох юм. Гэхдээ эцэг эхийн боловсрол нь гэр бүлийн сүлжээ, хүмүүжил, ажиглагдахгүй чадвар зэрэг сувгаар цалинд шууд нөлөөлөх магадлалыг бүрэн үгүйсгэх боломжгүй тул үр дүнг болгоомжтой тайлбарлах шаардлагатай (Conley et al., 2012).</w:t>
      </w:r>
    </w:p>
    <w:p>
      <w:r>
        <w:rPr>
          <w:rFonts w:ascii="Times New Roman" w:hAnsi="Times New Roman" w:eastAsia="Times New Roman"/>
          <w:b/>
          <w:sz w:val="24"/>
        </w:rPr>
        <w:t>1.3. Сургуулийн орчин, нэг багшид ногдох сурагчийн тоо ба өгөөжийн ялгаа</w:t>
      </w:r>
    </w:p>
    <w:p>
      <w:pPr>
        <w:spacing w:line="360" w:lineRule="auto" w:before="120" w:after="120"/>
        <w:ind w:firstLine="709"/>
        <w:jc w:val="both"/>
      </w:pPr>
      <w:r>
        <w:rPr>
          <w:rFonts w:ascii="Times New Roman" w:hAnsi="Times New Roman" w:eastAsia="Times New Roman"/>
          <w:b w:val="0"/>
          <w:sz w:val="24"/>
        </w:rPr>
        <w:t>Боловсролын өгөөж нь зөвхөн хувь хүний хэдэн жил сурсан гэдгээр тодорхойлогдохгүй, тухайн боловсрол ямар орчинд хуримтлагдсанаас хамаарч өөр байж болно. Сургалтын чанар, багшийн хүртээмж, ангийн ачаалал, сургуулийн материаллаг орчин, хот хөдөөгийн ялгаа зэрэг нь ижил боловсролын жилийг хөдөлмөрийн зах зээл дээр өөр өөр үнэ цэнтэй болгох боломжтой. Тухайлбал, нэг багшид ногдох сурагчийн тоо өндөр байх үед багшийн нэг сурагчид зарцуулах цаг, анхаарал, үнэлгээний нарийвчлал буурах магадлалтай. Энэ утгаараа сурагч-багшийн харьцаа нэмэгдэх тусам сургалтын чанараар дамжин боловсролын ахиу өгөөж буурах боломжтой гэсэн онолын хүлээлт бий.</w:t>
      </w:r>
    </w:p>
    <w:p>
      <w:pPr>
        <w:spacing w:line="360" w:lineRule="auto" w:before="120" w:after="120"/>
        <w:ind w:firstLine="709"/>
        <w:jc w:val="both"/>
      </w:pPr>
      <w:r>
        <w:rPr>
          <w:rFonts w:ascii="Times New Roman" w:hAnsi="Times New Roman" w:eastAsia="Times New Roman"/>
          <w:b w:val="0"/>
          <w:sz w:val="24"/>
        </w:rPr>
        <w:t>Энэхүү судалгаанд сурагч-багшийн харьцааг 17-18 насанд харгалзуулан авсан нь санамсаргүй сонголт бус, боловсролын өгөөж хөдөлмөрийн зах зээл дээр илрэхээс өмнөх хамгийн чухал шилжилтийн үеийг төлөөлүүлэх зорилготой. 17-18 нас нь бүрэн дунд боловсролын төгсөх шат бөгөөд энэ үед сурагчид дээд боловсролд элсэх, мэргэжлийн чиглэл сонгох, эсвэл хөдөлмөрийн зах зээлд орох шийдвэрийн өмнө ирдэг. Иймээс энэ насны сургуулийн орчин нь өмнөх жилүүдэд хуримтлагдсан мэдлэг, ур чадварыг цаашдын боловсрол, ажил мэргэжлийн замналд хувиргах шилжилтийн чанартай орчин гэж үзэж болно. OECD (2025)-ийн тайлбарласнаар бүрэн дунд боловсрол нь ихэнх улс оронд дээд боловсролд шилжих болон ажил мэргэжлийн чиглэл тодорхойлох үндсэн шат байдаг.</w:t>
      </w:r>
    </w:p>
    <w:p>
      <w:pPr>
        <w:spacing w:line="360" w:lineRule="auto" w:before="120" w:after="120"/>
        <w:ind w:firstLine="709"/>
        <w:jc w:val="both"/>
      </w:pPr>
      <w:r>
        <w:rPr>
          <w:rFonts w:ascii="Times New Roman" w:hAnsi="Times New Roman" w:eastAsia="Times New Roman"/>
          <w:b w:val="0"/>
          <w:sz w:val="24"/>
        </w:rPr>
        <w:t>Бусад насны сургуулийн орчныг ашиглахад тодорхой хязгаарлалт үүснэ. Бага насны сургалтын орчин нь суурь ур чадвар бүрэлдэхэд чухал боловч хөдөлмөрийн зах зээлд гарах, дээд боловсролд шилжих шийдвэрээс хугацааны хувьд хол тул цалингийн өгөөжтэй шууд холбож тайлбарлахад олон завсрын хүчин зүйл оролцоно. Харин 17-18 наснаас хойших үзүүлэлтүүдийг ашиглавал тухайн хүний өөрийн сонголт буюу их сургуульд элсэх, ажилд орох, хот руу шилжих зэрэг дараагийн шийдвэрүүдтэй давхар холилдох эрсдэлтэй. Иймээс 17-18 нас нь нэг талаас хөдөлмөрийн зах зээлийн үр дүнд ойр, нөгөө талаас цалин орлого бий болохоос өмнөх сургуулийн орчныг илэрхийлж чаддагаараа бусад наснаас илүү тохиромжтой.</w:t>
      </w:r>
    </w:p>
    <w:p>
      <w:pPr>
        <w:spacing w:line="360" w:lineRule="auto" w:before="120" w:after="120"/>
        <w:ind w:firstLine="709"/>
        <w:jc w:val="both"/>
      </w:pPr>
      <w:r>
        <w:rPr>
          <w:rFonts w:ascii="Times New Roman" w:hAnsi="Times New Roman" w:eastAsia="Times New Roman"/>
          <w:b w:val="0"/>
          <w:sz w:val="24"/>
        </w:rPr>
        <w:t>Ур чадварын хуримтлалын онолоор хүний капитал нь үе шаттайгаар бүрэлддэг бөгөөд өмнөх шатанд хуримтлагдсан мэдлэг, чадвар дараагийн шатны боловсролын өгөөжийг тодорхойлдог (Cunha &amp; Heckman, 2007). Энэ утгаараа 17-18 насны сургалтын орчин нь өмнөх боловсролын хуримтлал эцсийн боловсролын шийдвэр, шалгалт, мэргэжил сонголт, дээд боловсролд шилжих боломжид хэрхэн хувирч байгааг илэрхийлнэ. Тиймээс тухайн насны нэг багшид ногдох сурагчийн тоо нь боловсролын өгөөж өндөр эсвэл бага илрэх нөхцөлийг ялгах онолын үндэслэлтэй сургуулийн орчны босго хувьсагч болж байна.</w:t>
      </w:r>
    </w:p>
    <w:p>
      <w:pPr>
        <w:spacing w:line="360" w:lineRule="auto" w:before="120" w:after="120"/>
        <w:ind w:firstLine="709"/>
        <w:jc w:val="both"/>
      </w:pPr>
      <w:r>
        <w:rPr>
          <w:rFonts w:ascii="Times New Roman" w:hAnsi="Times New Roman" w:eastAsia="Times New Roman"/>
          <w:b w:val="0"/>
          <w:sz w:val="24"/>
        </w:rPr>
        <w:t>Ангийн хэмжээний талаархи судалгаанууд энэ суваг бодитой байж болохыг харуулдаг. Ангрист ба Лэйви (1999) Израилын сургуулийн өгөгдөлд ангийн хэмжээ сурагчдын амжилтад нөлөөлөх боломжтойг, Крюгер (1999) Tennessee STAR туршилтын өгөгдлөөр жижиг анги сурагчдын тестийн амжилтыг өсгөдгийг харуулсан. Гэвч энэ холбоог шууд, бүх нөхцөлд адил гэж үзэх боломжгүй. Нэг багшид ногдох сурагчийн тоо бага байна гэдэг нь заавал илүү өндөр хөдөлмөрийн зах зээлийн өгөөжтэй гэсэн үг биш. Монголын нөхцөлд энэ үзүүлэлт хотжилт, хүн амын төвлөрөл, дээд боловсролд шилжих боломж, цалинтай ажлын зах зээлтэй ойр байдал зэрэг олон орчны ялгааг хамтад нь илэрхийлж болно. Иймээс сурагч-багшийн харьцааг цалингийн шууд шалтгаан бус, боловсролын өгөөж ялгаатай илрэх сургуулийн орчны босго үзүүлэлт гэж тайлбарлах нь зүйтэй.</w:t>
      </w:r>
    </w:p>
    <w:p>
      <w:r>
        <w:rPr>
          <w:rFonts w:ascii="Times New Roman" w:hAnsi="Times New Roman" w:eastAsia="Times New Roman"/>
          <w:b/>
          <w:sz w:val="24"/>
        </w:rPr>
        <w:t>1.4. Босго, ялгаатай өгөөж ба Instrumental Forest-ийн онолын үндэслэл</w:t>
      </w:r>
    </w:p>
    <w:p>
      <w:pPr>
        <w:spacing w:line="360" w:lineRule="auto" w:before="120" w:after="120"/>
        <w:ind w:firstLine="709"/>
        <w:jc w:val="both"/>
      </w:pPr>
      <w:r>
        <w:rPr>
          <w:rFonts w:ascii="Times New Roman" w:hAnsi="Times New Roman" w:eastAsia="Times New Roman"/>
          <w:b w:val="0"/>
          <w:sz w:val="24"/>
        </w:rPr>
        <w:t>Боловсролын өгөөж бүх хүнд, бүх орчинд нэг ижил байна гэж үзэх нь бодлогын хувьд хэт ерөнхий дүгнэлтэд хүргэж болзошгүй. Хансен (2000)-ы босготой регрессийн арга нь өгөгдлийг тодорхой босго хувьсагчийн утгаар ялгаж, горим бүрт параметр өөр байж болохыг шалгах боломж олгодог. Харин боловсролын жил өөрөө эндоген шинжтэй үед Канер ба Хансен (2004)-ийн хэрэгсэл хувьсагчтай босготой регресс нь боловсролын эндоген асуудал болон өгөөжийн горим хоорондын ялгааг нэгэн зэрэг авч үзэх арга зүйн үндэслэл болдог.</w:t>
      </w:r>
    </w:p>
    <w:p>
      <w:pPr>
        <w:spacing w:line="360" w:lineRule="auto" w:before="120" w:after="120"/>
        <w:ind w:firstLine="709"/>
        <w:jc w:val="both"/>
      </w:pPr>
      <w:r>
        <w:rPr>
          <w:rFonts w:ascii="Times New Roman" w:hAnsi="Times New Roman" w:eastAsia="Times New Roman"/>
          <w:b w:val="0"/>
          <w:sz w:val="24"/>
        </w:rPr>
        <w:t>Энэ судалгааны хувьд боловсролын жил нь цалинд нөлөөлөх үндсэн тайлбарлагч, эцэг эхийн боловсролын дундаж нь хэрэгсэл хувьсагч, харин 17-18 насанд харгалзах нэг багшид ногдох сурагчийн дундаж тоо нь босго хувьсагчийн үүрэгтэй. Онолын хувьд сурагч-багшийн харьцаа өсөхөд сургалтын анхаарал буурч, боловсролын өгөөж багасах боломжтой. Гэхдээ эмпирик үр дүнд өндөр харьцаатай горимд өгөөж илүү гарах тохиолдолд үүнийг "олон сурагчтай байх нь цалинг өсгөдөг" гэж тайлбарлахгүй. Харин тухайн горимд хот, төвийн сургууль, хөдөлмөрийн зах зээлийн боломж, боловсролын дараагийн шатанд шилжих нөхцөл зэрэг бусад давхар хүчин зүйлс илүү хүчтэй ажиллаж байж болохыг харгалзана.</w:t>
      </w:r>
    </w:p>
    <w:p>
      <w:pPr>
        <w:spacing w:line="360" w:lineRule="auto" w:before="120" w:after="120"/>
        <w:ind w:firstLine="709"/>
        <w:jc w:val="both"/>
      </w:pPr>
      <w:r>
        <w:rPr>
          <w:rFonts w:ascii="Times New Roman" w:hAnsi="Times New Roman" w:eastAsia="Times New Roman"/>
          <w:b w:val="0"/>
          <w:sz w:val="24"/>
        </w:rPr>
        <w:t>Нэмэлтээр ашигласан Instrumental Forest арга нь боловсролын өгөөжийн ялгааг нэг босгоор хязгаарлахгүй, хувь хүний болон сургуулийн орчны олон шинжийн нөхцөлд local IV өгөөж хэрхэн тархаж байгааг харах боломж олгодог. Athey et al. (2019)-ийн generalized random forest болон Chernozhukov et al. (2018)-ийн double/debiased machine learning чиглэлийн санаа нь шалтгаант параметрийг machine learning-ийн уян хатан аргаар судлах арга зүйн суурь болдог. Иймээс Instrumental Forest-ийн үр дүнг үндсэн шалтгаант баталгаа бус, боловсролын өгөөж олон хэмжээст орчны ялгаагаар өөрчлөгдөж болохыг дэмжих нэмэлт эрэл хайгуулын нотолгоо гэж ашиглана.</w:t>
      </w:r>
    </w:p>
    <w:p>
      <w:pPr>
        <w:jc w:val="center"/>
      </w:pPr>
      <w:r>
        <w:rPr>
          <w:rFonts w:ascii="Times New Roman" w:hAnsi="Times New Roman" w:eastAsia="Times New Roman"/>
          <w:b/>
          <w:sz w:val="24"/>
        </w:rPr>
        <w:t>НОМ ЗҮЙД НЭМЭХ ЭХ СУРВАЛЖ</w:t>
      </w:r>
    </w:p>
    <w:p>
      <w:pPr>
        <w:spacing w:line="360" w:lineRule="auto" w:before="0" w:after="0"/>
        <w:ind w:left="709" w:hanging="709"/>
        <w:jc w:val="both"/>
      </w:pPr>
      <w:r>
        <w:rPr>
          <w:rFonts w:ascii="Times New Roman" w:hAnsi="Times New Roman" w:eastAsia="Times New Roman"/>
          <w:b w:val="0"/>
          <w:sz w:val="24"/>
        </w:rPr>
        <w:t>Angrist, J. D., &amp; Krueger, A. B. (1991). Does compulsory school attendance affect schooling and earnings? The Quarterly Journal of Economics, 106(4), 979-1014.</w:t>
      </w:r>
    </w:p>
    <w:p>
      <w:pPr>
        <w:spacing w:line="360" w:lineRule="auto" w:before="0" w:after="0"/>
        <w:ind w:left="709" w:hanging="709"/>
        <w:jc w:val="both"/>
      </w:pPr>
      <w:r>
        <w:rPr>
          <w:rFonts w:ascii="Times New Roman" w:hAnsi="Times New Roman" w:eastAsia="Times New Roman"/>
          <w:b w:val="0"/>
          <w:sz w:val="24"/>
        </w:rPr>
        <w:t>Angrist, J. D., &amp; Lavy, V. (1999). Using Maimonides' rule to estimate the effect of class size on scholastic achievement. The Quarterly Journal of Economics, 114(2), 533-575.</w:t>
      </w:r>
    </w:p>
    <w:p>
      <w:pPr>
        <w:spacing w:line="360" w:lineRule="auto" w:before="0" w:after="0"/>
        <w:ind w:left="709" w:hanging="709"/>
        <w:jc w:val="both"/>
      </w:pPr>
      <w:r>
        <w:rPr>
          <w:rFonts w:ascii="Times New Roman" w:hAnsi="Times New Roman" w:eastAsia="Times New Roman"/>
          <w:b w:val="0"/>
          <w:sz w:val="24"/>
        </w:rPr>
        <w:t>Athey, S., Tibshirani, J., &amp; Wager, S. (2019). Generalized random forests. The Annals of Statistics, 47(2), 1148-1178.</w:t>
      </w:r>
    </w:p>
    <w:p>
      <w:pPr>
        <w:spacing w:line="360" w:lineRule="auto" w:before="0" w:after="0"/>
        <w:ind w:left="709" w:hanging="709"/>
        <w:jc w:val="both"/>
      </w:pPr>
      <w:r>
        <w:rPr>
          <w:rFonts w:ascii="Times New Roman" w:hAnsi="Times New Roman" w:eastAsia="Times New Roman"/>
          <w:b w:val="0"/>
          <w:sz w:val="24"/>
        </w:rPr>
        <w:t>Becker, G. S. (1964). Human capital: A theoretical and empirical analysis, with special reference to education. National Bureau of Economic Research.</w:t>
      </w:r>
    </w:p>
    <w:p>
      <w:pPr>
        <w:spacing w:line="360" w:lineRule="auto" w:before="0" w:after="0"/>
        <w:ind w:left="709" w:hanging="709"/>
        <w:jc w:val="both"/>
      </w:pPr>
      <w:r>
        <w:rPr>
          <w:rFonts w:ascii="Times New Roman" w:hAnsi="Times New Roman" w:eastAsia="Times New Roman"/>
          <w:b w:val="0"/>
          <w:sz w:val="24"/>
        </w:rPr>
        <w:t>Caner, M., &amp; Hansen, B. E. (2004). Instrumental variable estimation of a threshold model. Econometric Theory, 20(5), 813-843.</w:t>
      </w:r>
    </w:p>
    <w:p>
      <w:pPr>
        <w:spacing w:line="360" w:lineRule="auto" w:before="0" w:after="0"/>
        <w:ind w:left="709" w:hanging="709"/>
        <w:jc w:val="both"/>
      </w:pPr>
      <w:r>
        <w:rPr>
          <w:rFonts w:ascii="Times New Roman" w:hAnsi="Times New Roman" w:eastAsia="Times New Roman"/>
          <w:b w:val="0"/>
          <w:sz w:val="24"/>
        </w:rPr>
        <w:t>Card, D. (1999). The causal effect of education on earnings. In O. Ashenfelter &amp; D. Card (Eds.), Handbook of Labor Economics (Vol. 3A, pp. 1801-1863). Elsevier.</w:t>
      </w:r>
    </w:p>
    <w:p>
      <w:pPr>
        <w:spacing w:line="360" w:lineRule="auto" w:before="0" w:after="0"/>
        <w:ind w:left="709" w:hanging="709"/>
        <w:jc w:val="both"/>
      </w:pPr>
      <w:r>
        <w:rPr>
          <w:rFonts w:ascii="Times New Roman" w:hAnsi="Times New Roman" w:eastAsia="Times New Roman"/>
          <w:b w:val="0"/>
          <w:sz w:val="24"/>
        </w:rPr>
        <w:t>Chernozhukov, V., Chetverikov, D., Demirer, M., Duflo, E., Hansen, C., Newey, W., &amp; Robins, J. (2018). Double/debiased machine learning for treatment and structural parameters. The Econometrics Journal, 21(1), C1-C68.</w:t>
      </w:r>
    </w:p>
    <w:p>
      <w:pPr>
        <w:spacing w:line="360" w:lineRule="auto" w:before="0" w:after="0"/>
        <w:ind w:left="709" w:hanging="709"/>
        <w:jc w:val="both"/>
      </w:pPr>
      <w:r>
        <w:rPr>
          <w:rFonts w:ascii="Times New Roman" w:hAnsi="Times New Roman" w:eastAsia="Times New Roman"/>
          <w:b w:val="0"/>
          <w:sz w:val="24"/>
        </w:rPr>
        <w:t>Conley, T. G., Hansen, C. B., &amp; Rossi, P. E. (2012). Plausibly exogenous. The Review of Economics and Statistics, 94(1), 260-272.</w:t>
      </w:r>
    </w:p>
    <w:p>
      <w:pPr>
        <w:spacing w:line="360" w:lineRule="auto" w:before="0" w:after="0"/>
        <w:ind w:left="709" w:hanging="709"/>
        <w:jc w:val="both"/>
      </w:pPr>
      <w:r>
        <w:rPr>
          <w:rFonts w:ascii="Times New Roman" w:hAnsi="Times New Roman" w:eastAsia="Times New Roman"/>
          <w:b w:val="0"/>
          <w:sz w:val="24"/>
        </w:rPr>
        <w:t>Duflo, E. (2001). Schooling and labor market consequences of school construction in Indonesia: Evidence from an unusual policy experiment. American Economic Review, 91(4), 795-813.</w:t>
      </w:r>
    </w:p>
    <w:p>
      <w:pPr>
        <w:spacing w:line="360" w:lineRule="auto" w:before="0" w:after="0"/>
        <w:ind w:left="709" w:hanging="709"/>
        <w:jc w:val="both"/>
      </w:pPr>
      <w:r>
        <w:rPr>
          <w:rFonts w:ascii="Times New Roman" w:hAnsi="Times New Roman" w:eastAsia="Times New Roman"/>
          <w:b w:val="0"/>
          <w:sz w:val="24"/>
        </w:rPr>
        <w:t>Hansen, B. E. (2000). Sample splitting and threshold estimation. Econometrica, 68(3), 575-603.</w:t>
      </w:r>
    </w:p>
    <w:p>
      <w:pPr>
        <w:spacing w:line="360" w:lineRule="auto" w:before="0" w:after="0"/>
        <w:ind w:left="709" w:hanging="709"/>
        <w:jc w:val="both"/>
      </w:pPr>
      <w:r>
        <w:rPr>
          <w:rFonts w:ascii="Times New Roman" w:hAnsi="Times New Roman" w:eastAsia="Times New Roman"/>
          <w:b w:val="0"/>
          <w:sz w:val="24"/>
        </w:rPr>
        <w:t>Krueger, A. B. (1999). Experimental estimates of education production functions. The Quarterly Journal of Economics, 114(2), 497-532.</w:t>
      </w:r>
    </w:p>
    <w:p>
      <w:pPr>
        <w:spacing w:line="360" w:lineRule="auto" w:before="0" w:after="0"/>
        <w:ind w:left="709" w:hanging="709"/>
        <w:jc w:val="both"/>
      </w:pPr>
      <w:r>
        <w:rPr>
          <w:rFonts w:ascii="Times New Roman" w:hAnsi="Times New Roman" w:eastAsia="Times New Roman"/>
          <w:b w:val="0"/>
          <w:sz w:val="24"/>
        </w:rPr>
        <w:t>Mincer, J. A. (1974). Schooling, experience, and earnings. National Bureau of Economic Research.</w:t>
      </w:r>
    </w:p>
    <w:p>
      <w:pPr>
        <w:spacing w:line="360" w:lineRule="auto" w:before="0" w:after="0"/>
        <w:ind w:left="709" w:hanging="709"/>
        <w:jc w:val="both"/>
      </w:pPr>
      <w:r>
        <w:rPr>
          <w:rFonts w:ascii="Times New Roman" w:hAnsi="Times New Roman" w:eastAsia="Times New Roman"/>
          <w:b w:val="0"/>
          <w:sz w:val="24"/>
        </w:rPr>
        <w:t>OECD. (2025). Education at a glance 2025: OECD indicators. OECD Publishing.</w:t>
      </w:r>
    </w:p>
    <w:p>
      <w:pPr>
        <w:spacing w:line="360" w:lineRule="auto" w:before="0" w:after="0"/>
        <w:ind w:left="709" w:hanging="709"/>
        <w:jc w:val="both"/>
      </w:pPr>
      <w:r>
        <w:rPr>
          <w:rFonts w:ascii="Times New Roman" w:hAnsi="Times New Roman" w:eastAsia="Times New Roman"/>
          <w:b w:val="0"/>
          <w:sz w:val="24"/>
        </w:rPr>
        <w:t>Psacharopoulos, G., &amp; Patrinos, H. A. (2018). Returns to investment in education: A decennial review of the global literature. Education Economics, 26(5), 445-458.</w:t>
      </w:r>
    </w:p>
    <w:p>
      <w:pPr>
        <w:spacing w:line="360" w:lineRule="auto" w:before="0" w:after="0"/>
        <w:ind w:left="709" w:hanging="709"/>
        <w:jc w:val="both"/>
      </w:pPr>
      <w:r>
        <w:rPr>
          <w:rFonts w:ascii="Times New Roman" w:hAnsi="Times New Roman" w:eastAsia="Times New Roman"/>
          <w:b w:val="0"/>
          <w:sz w:val="24"/>
        </w:rPr>
        <w:t>Schultz, T. W. (1961). Investment in human capital. The American Economic Review, 51(1), 1-17.</w:t>
      </w:r>
    </w:p>
    <w:sectPr w:rsidR="00FC693F" w:rsidRPr="0006063C" w:rsidSect="00034616">
      <w:pgSz w:w="11906" w:h="16838"/>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