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rPr>
        <w:t>I БҮЛЭГ. ОНОЛЫН УХАГДАХУУН</w:t>
      </w:r>
    </w:p>
    <w:p>
      <w:r>
        <w:rPr>
          <w:rFonts w:ascii="Times New Roman" w:hAnsi="Times New Roman" w:eastAsia="Times New Roman"/>
          <w:b/>
          <w:sz w:val="24"/>
        </w:rPr>
        <w:t>1.1. Хүмүүн капитал ба боловсролын цалингийн өгөөж</w:t>
      </w:r>
    </w:p>
    <w:p>
      <w:pPr>
        <w:spacing w:line="360" w:lineRule="auto" w:before="120" w:after="120"/>
        <w:ind w:firstLine="709"/>
        <w:jc w:val="both"/>
      </w:pPr>
      <w:r>
        <w:rPr>
          <w:rFonts w:ascii="Times New Roman" w:hAnsi="Times New Roman" w:eastAsia="Times New Roman"/>
          <w:b w:val="0"/>
          <w:sz w:val="24"/>
        </w:rPr>
        <w:t>Боловсролын эдийн засгийн үнэ цэнийг тайлбарлах үндсэн суурь нь хүмүүн капиталын онол юм. Энэ онолоор хувь хүн боловсрол, сургалт, эрүүл мэнд, хөдөлмөрийн ур чадвартаа хөрөнгө оруулснаар ирээдүйн бүтээмж, орлогоо нэмэгдүүлдэг гэж үздэг. Шульц (1961) боловсролыг эдийн засгийн өсөлт, хувь хүний бүтээмжийг өсгөх хөрөнгө оруулалтын хэлбэр гэж тайлбарласан бол Беккер (1964) боловсрол эзэмших шийдвэрийг зардал ба ирээдүйн өгөөжийн харьцуулалтаар ойлгож болно гэж үзсэн. Иймээс боловсролын жил нэмэгдэх нь зөвхөн дипломын тоо өсөх бус, хөдөлмөрийн зах зээл дээр ашиглагдах мэдлэг, сахилга бат, асуудал шийдвэрлэх чадвар, мэргэжлийн ур чадварын хуримтлал нэмэгдэж буйг илэрхийлнэ.</w:t>
      </w:r>
    </w:p>
    <w:p>
      <w:pPr>
        <w:spacing w:line="360" w:lineRule="auto" w:before="120" w:after="120"/>
        <w:ind w:firstLine="709"/>
        <w:jc w:val="both"/>
      </w:pPr>
      <w:r>
        <w:rPr>
          <w:rFonts w:ascii="Times New Roman" w:hAnsi="Times New Roman" w:eastAsia="Times New Roman"/>
          <w:b w:val="0"/>
          <w:sz w:val="24"/>
        </w:rPr>
        <w:t>Энэхүү онолыг эмпирик байдлаар шалгах хамгийн өргөн хэрэглэгддэг загвар нь Минсерийн цалингийн тэгшитгэл юм. Минсер (1974) хүний цалингийн логарифмыг боловсролын жил, хөдөлмөрийн туршлага, туршлагын квадрат зэрэг хувьсагчаар тайлбарлах боломжтойг харуулсан. Энэ хүрээнд боловсролын коэффициент нь боловсролын нэмэлт нэг жилийн дундаж цалингийн өгөөжийг илэрхийлдэг. Олон улсын судалгаанд боловсролын өгөөж ерөнхийдөө эерэг байдаг бөгөөд Псахаропулос ба Патринос (2018)-ын 139 орны мета-шинжилгээгээр боловсролын нэг жилийн хувийн дундаж өгөөж ойролцоогоор 9 хувь гэж нэгтгэсэн байна. Иймээс боловсрол ба цалин хоорондын эерэг холбоо нь онолын хувьд ч, эмпирик түвшинд ч үндэслэлтэй юм.</w:t>
      </w:r>
    </w:p>
    <w:p>
      <w:r>
        <w:rPr>
          <w:rFonts w:ascii="Times New Roman" w:hAnsi="Times New Roman" w:eastAsia="Times New Roman"/>
          <w:b/>
          <w:sz w:val="24"/>
        </w:rPr>
        <w:t>1.2. Боловсролын сонголтын эндоген шинж ба хэрэгсэл хувьсагч</w:t>
      </w:r>
    </w:p>
    <w:p>
      <w:pPr>
        <w:spacing w:line="360" w:lineRule="auto" w:before="120" w:after="120"/>
        <w:ind w:firstLine="709"/>
        <w:jc w:val="both"/>
      </w:pPr>
      <w:r>
        <w:rPr>
          <w:rFonts w:ascii="Times New Roman" w:hAnsi="Times New Roman" w:eastAsia="Times New Roman"/>
          <w:b w:val="0"/>
          <w:sz w:val="24"/>
        </w:rPr>
        <w:t>Гэсэн хэдий ч боловсролын өгөөжийг энгийн регрессээр шууд үнэлэхэд шалтгаант нөлөөг буруу тайлбарлах эрсдэл бий. Учир нь боловсролын жил нь санамсаргүй байдлаар тогтдоггүй. Ажиглагдахгүй төрөлхийн чадвар, суралцах хүсэл, гэр бүлийн орчин, эцэг эхийн боловсрол, амьдарч буй газрын сургуулийн хүртээмж зэрэг хүчин зүйлс боловсролын жилд ч, цалин орлогод ч зэрэг нөлөөлж болно. Ийм нөхцөлд ЭХБК үнэлгээ нь боловсролын бодит өгөөжийг хэт өсгөж эсвэл хэмжилтийн алдаанаас шалтгаалан дутуу үнэлж болзошгүй. Кард (1999) боловсролын өгөөжийг тайлбарлахдаа уг эндоген хазайлтыг заавал анхаарах шаардлагатайг онцолсон.</w:t>
      </w:r>
    </w:p>
    <w:p>
      <w:pPr>
        <w:spacing w:line="360" w:lineRule="auto" w:before="120" w:after="120"/>
        <w:ind w:firstLine="709"/>
        <w:jc w:val="both"/>
      </w:pPr>
      <w:r>
        <w:rPr>
          <w:rFonts w:ascii="Times New Roman" w:hAnsi="Times New Roman" w:eastAsia="Times New Roman"/>
          <w:b w:val="0"/>
          <w:sz w:val="24"/>
        </w:rPr>
        <w:t>Эндоген асуудлыг бууруулах нэг арга нь хэрэгсэл хувьсагч ашиглах явдал юм. Хэрэгсэл хувьсагч нь боловсролын жилтэй хүчтэй холбоотой боловч цалинд боловсролоор дамжихаас өөр сувгаар шууд нөлөөлөхгүй байх шаардлагатай. Олон улсын судалгаанд Ангрист ба Крюгер (1991) заавал суралцах насны хуулийг, Дюфло (2001) Индонез дахь сургуулийн барилгын бодлогын өөрчлөлтийг ашиглан боловсролын шалтгаант өгөөжийг үнэлсэн байдаг. Энэхүү судалгаанд эцэг, эхийн боловсролын дундажийг хэрэгсэл хувьсагчаар авч үзэж байгаа нь хүүхдийн боловсрол үргэлжлүүлэх боломж, мэдээлэл, суралцах хандлагатай холбоотой гэж үзэж болох юм. Гэхдээ эцэг эхийн боловсрол нь гэр бүлийн сүлжээ, хүмүүжил, ажиглагдахгүй чадвар зэрэг сувгаар цалинд шууд нөлөөлөх магадлалыг бүрэн үгүйсгэх боломжгүй тул үр дүнг болгоомжтой тайлбарлах шаардлагатай (Conley et al., 2012).</w:t>
      </w:r>
    </w:p>
    <w:p>
      <w:r>
        <w:rPr>
          <w:rFonts w:ascii="Times New Roman" w:hAnsi="Times New Roman" w:eastAsia="Times New Roman"/>
          <w:b/>
          <w:sz w:val="24"/>
        </w:rPr>
        <w:t>1.3. Сургуулийн орчин, нэг багшид ногдох сурагчийн тоо ба өгөөжийн ялгаа</w:t>
      </w:r>
    </w:p>
    <w:p>
      <w:pPr>
        <w:spacing w:line="360" w:lineRule="auto" w:before="120" w:after="120"/>
        <w:ind w:firstLine="709"/>
        <w:jc w:val="both"/>
      </w:pPr>
      <w:r>
        <w:rPr>
          <w:rFonts w:ascii="Times New Roman" w:hAnsi="Times New Roman" w:eastAsia="Times New Roman"/>
          <w:b w:val="0"/>
          <w:sz w:val="24"/>
        </w:rPr>
        <w:t>Боловсролын өгөөж нь зөвхөн хувь хүний хэдэн жил сурсан гэдгээр тодорхойлогдохгүй, тухайн боловсрол ямар орчинд хуримтлагдсанаас хамаарч өөр байж болно. Сургалтын чанар, багшийн хүртээмж, ангийн ачаалал, сургуулийн материаллаг орчин, хот хөдөөгийн ялгаа зэрэг нь ижил боловсролын жилийг хөдөлмөрийн зах зээл дээр өөр өөр үнэ цэнтэй болгох боломжтой. Тухайлбал, нэг багшид ногдох сурагчийн тоо өндөр байх үед багшийн нэг сурагчид зарцуулах цаг, анхаарал, үнэлгээний нарийвчлал буурах магадлалтай. Энэ утгаараа сурагч-багшийн харьцаа нэмэгдэх тусам сургалтын чанараар дамжин боловсролын ахиу өгөөж буурах боломжтой гэсэн онолын хүлээлт бий.</w:t>
      </w:r>
    </w:p>
    <w:p>
      <w:pPr>
        <w:spacing w:line="360" w:lineRule="auto" w:before="120" w:after="120"/>
        <w:ind w:firstLine="709"/>
        <w:jc w:val="both"/>
      </w:pPr>
      <w:r>
        <w:rPr>
          <w:rFonts w:ascii="Times New Roman" w:hAnsi="Times New Roman" w:eastAsia="Times New Roman"/>
          <w:b w:val="0"/>
          <w:sz w:val="24"/>
        </w:rPr>
        <w:t>Ангийн хэмжээний талаархи судалгаанууд энэ суваг бодитой байж болохыг харуулдаг. Ангрист ба Лэйви (1999) Израилын сургуулийн өгөгдөлд ангийн хэмжээ сурагчдын амжилтад нөлөөлөх боломжтойг, Крюгер (1999) Tennessee STAR туршилтын өгөгдлөөр жижиг анги сурагчдын тестийн амжилтыг өсгөдгийг харуулсан. Гэвч энэ холбоог шууд, бүх нөхцөлд адил гэж үзэх боломжгүй. Нэг багшид ногдох сурагчийн тоо бага байна гэдэг нь заавал илүү өндөр хөдөлмөрийн зах зээлийн өгөөжтэй гэсэн үг биш. Монголын нөхцөлд энэ үзүүлэлт хотжилт, хүн амын төвлөрөл, дээд боловсролд шилжих боломж, цалинтай ажлын зах зээлтэй ойр байдал зэрэг олон орчны ялгааг хамтад нь илэрхийлж болно. Иймээс сурагч-багшийн харьцааг цалингийн шууд шалтгаан бус, боловсролын өгөөж ялгаатай илрэх сургуулийн орчны босго үзүүлэлт гэж тайлбарлах нь зүйтэй.</w:t>
      </w:r>
    </w:p>
    <w:p>
      <w:r>
        <w:rPr>
          <w:rFonts w:ascii="Times New Roman" w:hAnsi="Times New Roman" w:eastAsia="Times New Roman"/>
          <w:b/>
          <w:sz w:val="24"/>
        </w:rPr>
        <w:t>1.4. Босго, ялгаатай өгөөж ба Instrumental Forest-ийн онолын үндэслэл</w:t>
      </w:r>
    </w:p>
    <w:p>
      <w:pPr>
        <w:spacing w:line="360" w:lineRule="auto" w:before="120" w:after="120"/>
        <w:ind w:firstLine="709"/>
        <w:jc w:val="both"/>
      </w:pPr>
      <w:r>
        <w:rPr>
          <w:rFonts w:ascii="Times New Roman" w:hAnsi="Times New Roman" w:eastAsia="Times New Roman"/>
          <w:b w:val="0"/>
          <w:sz w:val="24"/>
        </w:rPr>
        <w:t>Боловсролын өгөөж бүх хүнд, бүх орчинд нэг ижил байна гэж үзэх нь бодлогын хувьд хэт ерөнхий дүгнэлтэд хүргэж болзошгүй. Хансен (2000)-ы босготой регрессийн арга нь өгөгдлийг тодорхой босго хувьсагчийн утгаар ялгаж, горим бүрт параметр өөр байж болохыг шалгах боломж олгодог. Харин боловсролын жил өөрөө эндоген шинжтэй үед Канер ба Хансен (2004)-ийн хэрэгсэл хувьсагчтай босготой регресс нь боловсролын эндоген асуудал болон өгөөжийн горим хоорондын ялгааг нэгэн зэрэг авч үзэх арга зүйн үндэслэл болдог.</w:t>
      </w:r>
    </w:p>
    <w:p>
      <w:pPr>
        <w:spacing w:line="360" w:lineRule="auto" w:before="120" w:after="120"/>
        <w:ind w:firstLine="709"/>
        <w:jc w:val="both"/>
      </w:pPr>
      <w:r>
        <w:rPr>
          <w:rFonts w:ascii="Times New Roman" w:hAnsi="Times New Roman" w:eastAsia="Times New Roman"/>
          <w:b w:val="0"/>
          <w:sz w:val="24"/>
        </w:rPr>
        <w:t>Энэ судалгааны хувьд боловсролын жил нь цалинд нөлөөлөх үндсэн тайлбарлагч, эцэг эхийн боловсролын дундаж нь хэрэгсэл хувьсагч, харин 17-18 насанд харгалзах нэг багшид ногдох сурагчийн дундаж тоо нь босго хувьсагчийн үүрэгтэй. Онолын хувьд сурагч-багшийн харьцаа өсөхөд сургалтын анхаарал буурч, боловсролын өгөөж багасах боломжтой. Гэхдээ эмпирик үр дүнд өндөр харьцаатай горимд өгөөж илүү гарах тохиолдолд үүнийг "олон сурагчтай байх нь цалинг өсгөдөг" гэж тайлбарлахгүй. Харин тухайн горимд хот, төвийн сургууль, хөдөлмөрийн зах зээлийн боломж, боловсролын дараагийн шатанд шилжих нөхцөл зэрэг бусад давхар хүчин зүйлс илүү хүчтэй ажиллаж байж болохыг харгалзана.</w:t>
      </w:r>
    </w:p>
    <w:p>
      <w:pPr>
        <w:spacing w:line="360" w:lineRule="auto" w:before="120" w:after="120"/>
        <w:ind w:firstLine="709"/>
        <w:jc w:val="both"/>
      </w:pPr>
      <w:r>
        <w:rPr>
          <w:rFonts w:ascii="Times New Roman" w:hAnsi="Times New Roman" w:eastAsia="Times New Roman"/>
          <w:b w:val="0"/>
          <w:sz w:val="24"/>
        </w:rPr>
        <w:t>Нэмэлтээр ашигласан Instrumental Forest арга нь боловсролын өгөөжийн ялгааг нэг босгоор хязгаарлахгүй, хувь хүний болон сургуулийн орчны олон шинжийн нөхцөлд local IV өгөөж хэрхэн тархаж байгааг харах боломж олгодог. Athey et al. (2019)-ийн generalized random forest болон Chernozhukov et al. (2018)-ийн double/debiased machine learning чиглэлийн санаа нь шалтгаант параметрийг machine learning-ийн уян хатан аргаар судлах арга зүйн суурь болдог. Иймээс Instrumental Forest-ийн үр дүнг үндсэн шалтгаант баталгаа бус, боловсролын өгөөж олон хэмжээст орчны ялгаагаар өөрчлөгдөж болохыг дэмжих нэмэлт эрэл хайгуулын нотолгоо гэж ашиглана.</w:t>
      </w:r>
    </w:p>
    <w:p>
      <w:pPr>
        <w:jc w:val="center"/>
      </w:pPr>
      <w:r>
        <w:rPr>
          <w:rFonts w:ascii="Times New Roman" w:hAnsi="Times New Roman" w:eastAsia="Times New Roman"/>
          <w:b/>
          <w:sz w:val="24"/>
        </w:rPr>
        <w:t>НОМ ЗҮЙД НЭМЭХ ЭХ СУРВАЛЖ</w:t>
      </w:r>
    </w:p>
    <w:p>
      <w:pPr>
        <w:spacing w:line="360" w:lineRule="auto" w:before="0" w:after="0"/>
        <w:ind w:left="709" w:hanging="709"/>
        <w:jc w:val="both"/>
      </w:pPr>
      <w:r>
        <w:rPr>
          <w:rFonts w:ascii="Times New Roman" w:hAnsi="Times New Roman" w:eastAsia="Times New Roman"/>
          <w:b w:val="0"/>
          <w:sz w:val="24"/>
        </w:rPr>
        <w:t>Angrist, J. D., &amp; Krueger, A. B. (1991). Does compulsory school attendance affect schooling and earnings? The Quarterly Journal of Economics, 106(4), 979-1014.</w:t>
      </w:r>
    </w:p>
    <w:p>
      <w:pPr>
        <w:spacing w:line="360" w:lineRule="auto" w:before="0" w:after="0"/>
        <w:ind w:left="709" w:hanging="709"/>
        <w:jc w:val="both"/>
      </w:pPr>
      <w:r>
        <w:rPr>
          <w:rFonts w:ascii="Times New Roman" w:hAnsi="Times New Roman" w:eastAsia="Times New Roman"/>
          <w:b w:val="0"/>
          <w:sz w:val="24"/>
        </w:rPr>
        <w:t>Angrist, J. D., &amp; Lavy, V. (1999). Using Maimonides' rule to estimate the effect of class size on scholastic achievement. The Quarterly Journal of Economics, 114(2), 533-575.</w:t>
      </w:r>
    </w:p>
    <w:p>
      <w:pPr>
        <w:spacing w:line="360" w:lineRule="auto" w:before="0" w:after="0"/>
        <w:ind w:left="709" w:hanging="709"/>
        <w:jc w:val="both"/>
      </w:pPr>
      <w:r>
        <w:rPr>
          <w:rFonts w:ascii="Times New Roman" w:hAnsi="Times New Roman" w:eastAsia="Times New Roman"/>
          <w:b w:val="0"/>
          <w:sz w:val="24"/>
        </w:rPr>
        <w:t>Athey, S., Tibshirani, J., &amp; Wager, S. (2019). Generalized random forests. The Annals of Statistics, 47(2), 1148-1178.</w:t>
      </w:r>
    </w:p>
    <w:p>
      <w:pPr>
        <w:spacing w:line="360" w:lineRule="auto" w:before="0" w:after="0"/>
        <w:ind w:left="709" w:hanging="709"/>
        <w:jc w:val="both"/>
      </w:pPr>
      <w:r>
        <w:rPr>
          <w:rFonts w:ascii="Times New Roman" w:hAnsi="Times New Roman" w:eastAsia="Times New Roman"/>
          <w:b w:val="0"/>
          <w:sz w:val="24"/>
        </w:rPr>
        <w:t>Becker, G. S. (1964). Human capital: A theoretical and empirical analysis, with special reference to education. National Bureau of Economic Research.</w:t>
      </w:r>
    </w:p>
    <w:p>
      <w:pPr>
        <w:spacing w:line="360" w:lineRule="auto" w:before="0" w:after="0"/>
        <w:ind w:left="709" w:hanging="709"/>
        <w:jc w:val="both"/>
      </w:pPr>
      <w:r>
        <w:rPr>
          <w:rFonts w:ascii="Times New Roman" w:hAnsi="Times New Roman" w:eastAsia="Times New Roman"/>
          <w:b w:val="0"/>
          <w:sz w:val="24"/>
        </w:rPr>
        <w:t>Caner, M., &amp; Hansen, B. E. (2004). Instrumental variable estimation of a threshold model. Econometric Theory, 20(5), 813-843.</w:t>
      </w:r>
    </w:p>
    <w:p>
      <w:pPr>
        <w:spacing w:line="360" w:lineRule="auto" w:before="0" w:after="0"/>
        <w:ind w:left="709" w:hanging="709"/>
        <w:jc w:val="both"/>
      </w:pPr>
      <w:r>
        <w:rPr>
          <w:rFonts w:ascii="Times New Roman" w:hAnsi="Times New Roman" w:eastAsia="Times New Roman"/>
          <w:b w:val="0"/>
          <w:sz w:val="24"/>
        </w:rPr>
        <w:t>Card, D. (1999). The causal effect of education on earnings. In O. Ashenfelter &amp; D. Card (Eds.), Handbook of Labor Economics (Vol. 3A, pp. 1801-1863). Elsevier.</w:t>
      </w:r>
    </w:p>
    <w:p>
      <w:pPr>
        <w:spacing w:line="360" w:lineRule="auto" w:before="0" w:after="0"/>
        <w:ind w:left="709" w:hanging="709"/>
        <w:jc w:val="both"/>
      </w:pPr>
      <w:r>
        <w:rPr>
          <w:rFonts w:ascii="Times New Roman" w:hAnsi="Times New Roman" w:eastAsia="Times New Roman"/>
          <w:b w:val="0"/>
          <w:sz w:val="24"/>
        </w:rPr>
        <w:t>Chernozhukov, V., Chetverikov, D., Demirer, M., Duflo, E., Hansen, C., Newey, W., &amp; Robins, J. (2018). Double/debiased machine learning for treatment and structural parameters. The Econometrics Journal, 21(1), C1-C68.</w:t>
      </w:r>
    </w:p>
    <w:p>
      <w:pPr>
        <w:spacing w:line="360" w:lineRule="auto" w:before="0" w:after="0"/>
        <w:ind w:left="709" w:hanging="709"/>
        <w:jc w:val="both"/>
      </w:pPr>
      <w:r>
        <w:rPr>
          <w:rFonts w:ascii="Times New Roman" w:hAnsi="Times New Roman" w:eastAsia="Times New Roman"/>
          <w:b w:val="0"/>
          <w:sz w:val="24"/>
        </w:rPr>
        <w:t>Conley, T. G., Hansen, C. B., &amp; Rossi, P. E. (2012). Plausibly exogenous. The Review of Economics and Statistics, 94(1), 260-272.</w:t>
      </w:r>
    </w:p>
    <w:p>
      <w:pPr>
        <w:spacing w:line="360" w:lineRule="auto" w:before="0" w:after="0"/>
        <w:ind w:left="709" w:hanging="709"/>
        <w:jc w:val="both"/>
      </w:pPr>
      <w:r>
        <w:rPr>
          <w:rFonts w:ascii="Times New Roman" w:hAnsi="Times New Roman" w:eastAsia="Times New Roman"/>
          <w:b w:val="0"/>
          <w:sz w:val="24"/>
        </w:rPr>
        <w:t>Duflo, E. (2001). Schooling and labor market consequences of school construction in Indonesia: Evidence from an unusual policy experiment. American Economic Review, 91(4), 795-813.</w:t>
      </w:r>
    </w:p>
    <w:p>
      <w:pPr>
        <w:spacing w:line="360" w:lineRule="auto" w:before="0" w:after="0"/>
        <w:ind w:left="709" w:hanging="709"/>
        <w:jc w:val="both"/>
      </w:pPr>
      <w:r>
        <w:rPr>
          <w:rFonts w:ascii="Times New Roman" w:hAnsi="Times New Roman" w:eastAsia="Times New Roman"/>
          <w:b w:val="0"/>
          <w:sz w:val="24"/>
        </w:rPr>
        <w:t>Hansen, B. E. (2000). Sample splitting and threshold estimation. Econometrica, 68(3), 575-603.</w:t>
      </w:r>
    </w:p>
    <w:p>
      <w:pPr>
        <w:spacing w:line="360" w:lineRule="auto" w:before="0" w:after="0"/>
        <w:ind w:left="709" w:hanging="709"/>
        <w:jc w:val="both"/>
      </w:pPr>
      <w:r>
        <w:rPr>
          <w:rFonts w:ascii="Times New Roman" w:hAnsi="Times New Roman" w:eastAsia="Times New Roman"/>
          <w:b w:val="0"/>
          <w:sz w:val="24"/>
        </w:rPr>
        <w:t>Krueger, A. B. (1999). Experimental estimates of education production functions. The Quarterly Journal of Economics, 114(2), 497-532.</w:t>
      </w:r>
    </w:p>
    <w:p>
      <w:pPr>
        <w:spacing w:line="360" w:lineRule="auto" w:before="0" w:after="0"/>
        <w:ind w:left="709" w:hanging="709"/>
        <w:jc w:val="both"/>
      </w:pPr>
      <w:r>
        <w:rPr>
          <w:rFonts w:ascii="Times New Roman" w:hAnsi="Times New Roman" w:eastAsia="Times New Roman"/>
          <w:b w:val="0"/>
          <w:sz w:val="24"/>
        </w:rPr>
        <w:t>Mincer, J. A. (1974). Schooling, experience, and earnings. National Bureau of Economic Research.</w:t>
      </w:r>
    </w:p>
    <w:p>
      <w:pPr>
        <w:spacing w:line="360" w:lineRule="auto" w:before="0" w:after="0"/>
        <w:ind w:left="709" w:hanging="709"/>
        <w:jc w:val="both"/>
      </w:pPr>
      <w:r>
        <w:rPr>
          <w:rFonts w:ascii="Times New Roman" w:hAnsi="Times New Roman" w:eastAsia="Times New Roman"/>
          <w:b w:val="0"/>
          <w:sz w:val="24"/>
        </w:rPr>
        <w:t>Psacharopoulos, G., &amp; Patrinos, H. A. (2018). Returns to investment in education: A decennial review of the global literature. Education Economics, 26(5), 445-458.</w:t>
      </w:r>
    </w:p>
    <w:p>
      <w:pPr>
        <w:spacing w:line="360" w:lineRule="auto" w:before="0" w:after="0"/>
        <w:ind w:left="709" w:hanging="709"/>
        <w:jc w:val="both"/>
      </w:pPr>
      <w:r>
        <w:rPr>
          <w:rFonts w:ascii="Times New Roman" w:hAnsi="Times New Roman" w:eastAsia="Times New Roman"/>
          <w:b w:val="0"/>
          <w:sz w:val="24"/>
        </w:rPr>
        <w:t>Schultz, T. W. (1961). Investment in human capital. The American Economic Review, 51(1), 1-17.</w:t>
      </w:r>
    </w:p>
    <w:sectPr w:rsidR="00FC693F" w:rsidRPr="0006063C" w:rsidSect="00034616">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