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D3" w:rsidRDefault="00786CA4">
      <w:pPr>
        <w:pStyle w:val="Heading1"/>
      </w:pPr>
      <w:bookmarkStart w:id="0" w:name="_osobg19t6t5f" w:colFirst="0" w:colLast="0"/>
      <w:bookmarkEnd w:id="0"/>
      <w:r>
        <w:t>Cost</w:t>
      </w:r>
      <w:r w:rsidR="00FA5226">
        <w:t>-</w:t>
      </w:r>
      <w:r>
        <w:t>Benefit Analysis</w:t>
      </w:r>
    </w:p>
    <w:p w:rsidR="00CB0AD3" w:rsidRDefault="00786CA4">
      <w:pPr>
        <w:pStyle w:val="Heading2"/>
      </w:pPr>
      <w:bookmarkStart w:id="1" w:name="_yzdrndjnzc20" w:colFirst="0" w:colLast="0"/>
      <w:bookmarkEnd w:id="1"/>
      <w:r>
        <w:t>Battery Form Factors</w:t>
      </w:r>
    </w:p>
    <w:p w:rsidR="00CB0AD3" w:rsidRDefault="00CB0AD3"/>
    <w:tbl>
      <w:tblPr>
        <w:tblStyle w:val="a"/>
        <w:tblpPr w:leftFromText="180" w:rightFromText="180" w:topFromText="180" w:bottomFromText="180" w:vertAnchor="text" w:tblpX="165"/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50"/>
        <w:gridCol w:w="1350"/>
        <w:gridCol w:w="1350"/>
        <w:gridCol w:w="1350"/>
        <w:gridCol w:w="1350"/>
        <w:gridCol w:w="1350"/>
        <w:gridCol w:w="1905"/>
      </w:tblGrid>
      <w:tr w:rsidR="00CB0AD3"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Form Factor</w:t>
            </w:r>
          </w:p>
        </w:tc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Initial Cost</w:t>
            </w:r>
          </w:p>
        </w:tc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</w:t>
            </w:r>
          </w:p>
        </w:tc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Durability</w:t>
            </w:r>
          </w:p>
        </w:tc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Longevity</w:t>
            </w:r>
          </w:p>
        </w:tc>
        <w:tc>
          <w:tcPr>
            <w:tcW w:w="1350" w:type="dxa"/>
          </w:tcPr>
          <w:p w:rsidR="00CB0AD3" w:rsidRDefault="00786CA4">
            <w:pPr>
              <w:spacing w:after="240"/>
              <w:rPr>
                <w:b/>
              </w:rPr>
            </w:pPr>
            <w:r>
              <w:rPr>
                <w:b/>
              </w:rPr>
              <w:t>Efficiency</w:t>
            </w:r>
          </w:p>
        </w:tc>
        <w:tc>
          <w:tcPr>
            <w:tcW w:w="1905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Compactness</w:t>
            </w:r>
          </w:p>
        </w:tc>
      </w:tr>
      <w:tr w:rsidR="00CB0AD3" w:rsidTr="00A173C2">
        <w:trPr>
          <w:trHeight w:val="2678"/>
        </w:trPr>
        <w:tc>
          <w:tcPr>
            <w:tcW w:w="1350" w:type="dxa"/>
          </w:tcPr>
          <w:p w:rsidR="00CB0AD3" w:rsidRDefault="009218E3">
            <w:pPr>
              <w:widowControl w:val="0"/>
              <w:spacing w:line="240" w:lineRule="auto"/>
            </w:pPr>
            <w:r>
              <w:t>Cylindrical</w:t>
            </w:r>
          </w:p>
          <w:p w:rsidR="009218E3" w:rsidRDefault="009218E3">
            <w:pPr>
              <w:widowControl w:val="0"/>
              <w:spacing w:line="240" w:lineRule="auto"/>
            </w:pPr>
            <w:r>
              <w:t>Batteries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 xml:space="preserve">typical price range is </w:t>
            </w:r>
            <w:r w:rsidR="009218E3">
              <w:t>0.50$ - few dollars</w:t>
            </w:r>
            <w:r>
              <w:t xml:space="preserve">, </w:t>
            </w:r>
            <w:r w:rsidR="009E00C4">
              <w:t>highly affordable</w:t>
            </w:r>
          </w:p>
        </w:tc>
        <w:tc>
          <w:tcPr>
            <w:tcW w:w="1350" w:type="dxa"/>
          </w:tcPr>
          <w:p w:rsidR="00CB0AD3" w:rsidRDefault="002B7709" w:rsidP="002B7709">
            <w:pPr>
              <w:widowControl w:val="0"/>
              <w:spacing w:line="240" w:lineRule="auto"/>
            </w:pPr>
            <w:r>
              <w:t>durable outer casing protects them against punctures and physical  damage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>robust design and excellent heat dissipation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 xml:space="preserve">average longevity of </w:t>
            </w:r>
            <w:r w:rsidR="009218E3">
              <w:t>5 years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>m</w:t>
            </w:r>
            <w:r w:rsidR="009218E3">
              <w:t>oderate</w:t>
            </w:r>
            <w:r>
              <w:t>ly energy efficient</w:t>
            </w:r>
            <w:r w:rsidR="00EF1818">
              <w:t>,  with stable and high power output</w:t>
            </w:r>
          </w:p>
        </w:tc>
        <w:tc>
          <w:tcPr>
            <w:tcW w:w="1905" w:type="dxa"/>
          </w:tcPr>
          <w:p w:rsidR="00CB0AD3" w:rsidRDefault="002B7709">
            <w:pPr>
              <w:widowControl w:val="0"/>
              <w:spacing w:line="240" w:lineRule="auto"/>
            </w:pPr>
            <w:r>
              <w:t>l</w:t>
            </w:r>
            <w:r w:rsidR="009218E3">
              <w:t>arge</w:t>
            </w:r>
            <w:r>
              <w:t>r</w:t>
            </w:r>
            <w:r w:rsidR="009218E3">
              <w:t xml:space="preserve"> in size</w:t>
            </w:r>
            <w:r>
              <w:t xml:space="preserve"> (not suitable for devices where compactness is a critical factor)</w:t>
            </w:r>
          </w:p>
        </w:tc>
      </w:tr>
      <w:tr w:rsidR="00CB0AD3">
        <w:tc>
          <w:tcPr>
            <w:tcW w:w="1350" w:type="dxa"/>
          </w:tcPr>
          <w:p w:rsidR="00CB0AD3" w:rsidRDefault="009218E3">
            <w:pPr>
              <w:widowControl w:val="0"/>
              <w:spacing w:line="240" w:lineRule="auto"/>
            </w:pPr>
            <w:r>
              <w:t>Pouch</w:t>
            </w:r>
          </w:p>
          <w:p w:rsidR="009218E3" w:rsidRDefault="009218E3">
            <w:pPr>
              <w:widowControl w:val="0"/>
              <w:spacing w:line="240" w:lineRule="auto"/>
            </w:pPr>
            <w:r>
              <w:t>Batteries</w:t>
            </w:r>
          </w:p>
        </w:tc>
        <w:tc>
          <w:tcPr>
            <w:tcW w:w="1350" w:type="dxa"/>
          </w:tcPr>
          <w:p w:rsidR="00CB0AD3" w:rsidRDefault="00360FF1">
            <w:pPr>
              <w:widowControl w:val="0"/>
              <w:spacing w:line="240" w:lineRule="auto"/>
            </w:pPr>
            <w:r>
              <w:t xml:space="preserve"> </w:t>
            </w:r>
            <w:r w:rsidR="009218E3">
              <w:t>50$</w:t>
            </w:r>
            <w:r w:rsidR="009E00C4">
              <w:t xml:space="preserve"> or more depending on the brand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p</w:t>
            </w:r>
            <w:r w:rsidR="009218E3">
              <w:t>oor</w:t>
            </w:r>
            <w:r w:rsidR="0092434D">
              <w:t xml:space="preserve"> due to soft-packing and lower resistance to heat dissipation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m</w:t>
            </w:r>
            <w:r w:rsidR="009E00C4">
              <w:t>oderate durability, their soft packing makes them susceptible to external pressure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 xml:space="preserve">average longevity of </w:t>
            </w:r>
            <w:r w:rsidR="009218E3">
              <w:t>4 years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moderate energy density and not suitable</w:t>
            </w:r>
            <w:r w:rsidR="00EF1818">
              <w:t xml:space="preserve"> high</w:t>
            </w:r>
            <w:r>
              <w:t xml:space="preserve"> power </w:t>
            </w:r>
            <w:r w:rsidR="00EF1818">
              <w:t>systems</w:t>
            </w:r>
          </w:p>
        </w:tc>
        <w:tc>
          <w:tcPr>
            <w:tcW w:w="1905" w:type="dxa"/>
          </w:tcPr>
          <w:p w:rsidR="009218E3" w:rsidRDefault="002B7709">
            <w:pPr>
              <w:widowControl w:val="0"/>
              <w:spacing w:line="240" w:lineRule="auto"/>
            </w:pPr>
            <w:r>
              <w:t>space efficient</w:t>
            </w:r>
          </w:p>
        </w:tc>
      </w:tr>
      <w:tr w:rsidR="00CB0AD3" w:rsidTr="00FA5226">
        <w:trPr>
          <w:trHeight w:val="73"/>
        </w:trPr>
        <w:tc>
          <w:tcPr>
            <w:tcW w:w="1350" w:type="dxa"/>
          </w:tcPr>
          <w:p w:rsidR="00CB0AD3" w:rsidRDefault="009218E3">
            <w:pPr>
              <w:widowControl w:val="0"/>
              <w:spacing w:line="240" w:lineRule="auto"/>
            </w:pPr>
            <w:r>
              <w:t>Prismatic</w:t>
            </w:r>
          </w:p>
          <w:p w:rsidR="009218E3" w:rsidRDefault="009218E3">
            <w:pPr>
              <w:widowControl w:val="0"/>
              <w:spacing w:line="240" w:lineRule="auto"/>
            </w:pPr>
            <w:r>
              <w:t>Batteries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h</w:t>
            </w:r>
            <w:r w:rsidR="0092434D">
              <w:t>igh initial cost compa</w:t>
            </w:r>
            <w:r>
              <w:t>red to other battery form facto</w:t>
            </w:r>
            <w:r w:rsidR="0092434D">
              <w:t>rs</w:t>
            </w:r>
          </w:p>
        </w:tc>
        <w:tc>
          <w:tcPr>
            <w:tcW w:w="1350" w:type="dxa"/>
          </w:tcPr>
          <w:p w:rsidR="00CB0AD3" w:rsidRDefault="00EF1818" w:rsidP="00EF1818">
            <w:pPr>
              <w:widowControl w:val="0"/>
              <w:spacing w:line="240" w:lineRule="auto"/>
            </w:pPr>
            <w:r>
              <w:t>M</w:t>
            </w:r>
            <w:r w:rsidR="00A173C2">
              <w:t>oderate</w:t>
            </w:r>
            <w:r>
              <w:t>, the pouch cells are housed in rigid and rectangular casing</w:t>
            </w:r>
          </w:p>
        </w:tc>
        <w:tc>
          <w:tcPr>
            <w:tcW w:w="1350" w:type="dxa"/>
          </w:tcPr>
          <w:p w:rsidR="00CB0AD3" w:rsidRDefault="00EF1818">
            <w:pPr>
              <w:widowControl w:val="0"/>
              <w:spacing w:line="240" w:lineRule="auto"/>
            </w:pPr>
            <w:r>
              <w:t>Moderate, due to their rigid casing which renders them less resistant to physical damage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average longevity of 6 years</w:t>
            </w:r>
          </w:p>
        </w:tc>
        <w:tc>
          <w:tcPr>
            <w:tcW w:w="1350" w:type="dxa"/>
          </w:tcPr>
          <w:p w:rsidR="00360FF1" w:rsidRDefault="00EF1818" w:rsidP="00EF1818">
            <w:pPr>
              <w:widowControl w:val="0"/>
              <w:spacing w:line="240" w:lineRule="auto"/>
            </w:pPr>
            <w:r>
              <w:t>High energy densities and capable of providing stable power output</w:t>
            </w:r>
          </w:p>
        </w:tc>
        <w:tc>
          <w:tcPr>
            <w:tcW w:w="1905" w:type="dxa"/>
          </w:tcPr>
          <w:p w:rsidR="009218E3" w:rsidRDefault="00EF1818">
            <w:pPr>
              <w:widowControl w:val="0"/>
              <w:spacing w:line="240" w:lineRule="auto"/>
            </w:pPr>
            <w:r>
              <w:t>More space efficient</w:t>
            </w:r>
          </w:p>
        </w:tc>
      </w:tr>
    </w:tbl>
    <w:p w:rsidR="008947A1" w:rsidRDefault="008947A1" w:rsidP="00F3149D">
      <w:pPr>
        <w:pStyle w:val="Heading2"/>
      </w:pPr>
    </w:p>
    <w:p w:rsidR="00F3149D" w:rsidRDefault="00F3149D" w:rsidP="00F3149D">
      <w:pPr>
        <w:pStyle w:val="Heading2"/>
      </w:pPr>
      <w:r>
        <w:t>Summary</w:t>
      </w:r>
    </w:p>
    <w:p w:rsidR="008947A1" w:rsidRPr="008947A1" w:rsidRDefault="008947A1" w:rsidP="008947A1">
      <w:pPr>
        <w:spacing w:line="240" w:lineRule="auto"/>
        <w:rPr>
          <w:rFonts w:eastAsia="Times New Roman"/>
        </w:rPr>
      </w:pPr>
      <w:r w:rsidRPr="008947A1">
        <w:rPr>
          <w:rFonts w:eastAsia="Times New Roman"/>
        </w:rPr>
        <w:t>Each project will require a different battery form factor based on considerations including affordability, safety, longevity, efficiency, and compactness.</w:t>
      </w:r>
    </w:p>
    <w:p w:rsidR="0029278B" w:rsidRDefault="0029278B" w:rsidP="0029278B"/>
    <w:p w:rsidR="0029278B" w:rsidRDefault="001F4FE4" w:rsidP="0029278B">
      <w:r>
        <w:t xml:space="preserve">Cylindrical form factors, despite their lack of compactness which makes them not suitable for application in devices where compactness is a critical factor. They are still </w:t>
      </w:r>
      <w:r w:rsidR="000E0FB7">
        <w:t xml:space="preserve">known </w:t>
      </w:r>
      <w:r>
        <w:t>for</w:t>
      </w:r>
      <w:r w:rsidR="000E0FB7">
        <w:t xml:space="preserve"> their</w:t>
      </w:r>
      <w:r>
        <w:t xml:space="preserve"> robust design and excellent heat dissipation</w:t>
      </w:r>
      <w:r w:rsidR="000E0FB7">
        <w:t xml:space="preserve"> capability. Additionally their durable casing protects them from damage and this improves safety.</w:t>
      </w:r>
    </w:p>
    <w:p w:rsidR="000E0FB7" w:rsidRDefault="000E0FB7" w:rsidP="0029278B"/>
    <w:p w:rsidR="000E0FB7" w:rsidRDefault="000E0FB7" w:rsidP="0029278B">
      <w:r>
        <w:t>Pouch form factors, although ideal for applications that require space efficiency and design flexibility. It is the absence of hard exterior casing which impacts safety and durability negatively.</w:t>
      </w:r>
      <w:r w:rsidR="002A3E80">
        <w:t xml:space="preserve"> </w:t>
      </w:r>
      <w:r>
        <w:t>Also their poor resistance to heat diss</w:t>
      </w:r>
      <w:r w:rsidR="002A3E80">
        <w:t>i</w:t>
      </w:r>
      <w:r>
        <w:t xml:space="preserve">pation </w:t>
      </w:r>
      <w:r w:rsidR="002A3E80">
        <w:t>which curtails the overall efficiency.</w:t>
      </w:r>
    </w:p>
    <w:p w:rsidR="002A3E80" w:rsidRDefault="002A3E80" w:rsidP="0029278B"/>
    <w:p w:rsidR="00D81069" w:rsidRDefault="002A3E80" w:rsidP="0029278B">
      <w:r>
        <w:t>Prismatic form factors, their strength lies in their compact design</w:t>
      </w:r>
      <w:r w:rsidR="00D81069">
        <w:t>, allowing for</w:t>
      </w:r>
      <w:r>
        <w:t xml:space="preserve"> higher energy densities to be ach</w:t>
      </w:r>
      <w:r w:rsidR="00D81069">
        <w:t>iev</w:t>
      </w:r>
      <w:r>
        <w:t>ed. However, their rigid casing renders them less resistant to physical damage which in turn impacts safety and durability.</w:t>
      </w:r>
      <w:r w:rsidR="00D81069">
        <w:t xml:space="preserve"> </w:t>
      </w:r>
    </w:p>
    <w:p w:rsidR="00D81069" w:rsidRDefault="00D81069" w:rsidP="0029278B"/>
    <w:p w:rsidR="008947A1" w:rsidRPr="008947A1" w:rsidRDefault="00D81069" w:rsidP="008947A1">
      <w:pPr>
        <w:rPr>
          <w:rFonts w:ascii="Times New Roman" w:eastAsia="Times New Roman" w:hAnsi="Times New Roman" w:cs="Times New Roman"/>
        </w:rPr>
      </w:pPr>
      <w:r>
        <w:t xml:space="preserve">All these form factors have low initial cost ranging from a few dollars although prismatic being slightly expensive. </w:t>
      </w:r>
      <w:r w:rsidR="008947A1" w:rsidRPr="008947A1">
        <w:rPr>
          <w:rFonts w:eastAsia="Times New Roman"/>
        </w:rPr>
        <w:t>Ultimately, the cost of any battery form factor increases with its capacity.</w:t>
      </w:r>
    </w:p>
    <w:p w:rsidR="001F4FE4" w:rsidRPr="008947A1" w:rsidRDefault="001F4FE4" w:rsidP="0029278B"/>
    <w:p w:rsidR="0029278B" w:rsidRPr="0029278B" w:rsidRDefault="0029278B" w:rsidP="0029278B"/>
    <w:p w:rsidR="00CB0AD3" w:rsidRDefault="00CB0AD3">
      <w:pPr>
        <w:spacing w:before="240" w:after="240"/>
      </w:pPr>
    </w:p>
    <w:p w:rsidR="008E71A1" w:rsidRDefault="008E71A1">
      <w:pPr>
        <w:pStyle w:val="Heading2"/>
      </w:pPr>
      <w:bookmarkStart w:id="2" w:name="_943d3fm7m7al" w:colFirst="0" w:colLast="0"/>
      <w:bookmarkEnd w:id="2"/>
    </w:p>
    <w:p w:rsidR="00CB0AD3" w:rsidRDefault="00786CA4">
      <w:pPr>
        <w:pStyle w:val="Heading2"/>
      </w:pPr>
      <w:r>
        <w:t>LiDAR Sensors</w:t>
      </w:r>
    </w:p>
    <w:p w:rsidR="00CB0AD3" w:rsidRDefault="00CB0AD3"/>
    <w:tbl>
      <w:tblPr>
        <w:tblStyle w:val="a0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890"/>
      </w:tblGrid>
      <w:tr w:rsidR="00CB0A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Sensor 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Initial 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Durability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Scanning Speed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Power Consumption</w:t>
            </w:r>
          </w:p>
        </w:tc>
      </w:tr>
      <w:tr w:rsidR="00CB0A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Solid-state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E45797">
            <w:pPr>
              <w:widowControl w:val="0"/>
              <w:spacing w:line="240" w:lineRule="auto"/>
            </w:pPr>
            <w:r>
              <w:t xml:space="preserve"> $1000 to &gt;= $100 000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E45797">
            <w:pPr>
              <w:widowControl w:val="0"/>
              <w:spacing w:line="240" w:lineRule="auto"/>
            </w:pPr>
            <w:r>
              <w:t>e</w:t>
            </w:r>
            <w:r w:rsidR="00343C15">
              <w:t>nhanced</w:t>
            </w:r>
            <w:r>
              <w:t xml:space="preserve"> durability</w:t>
            </w:r>
            <w:r w:rsidR="007E6F9D">
              <w:t>, due to the absence of moving parts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CB0A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Mechanical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797" w:rsidRDefault="00E45797" w:rsidP="00E45797">
            <w:pPr>
              <w:widowControl w:val="0"/>
              <w:spacing w:line="240" w:lineRule="auto"/>
            </w:pPr>
            <w:r>
              <w:t>$1 000 to</w:t>
            </w:r>
          </w:p>
          <w:p w:rsidR="00CB0AD3" w:rsidRDefault="00E45797" w:rsidP="00E45797">
            <w:pPr>
              <w:widowControl w:val="0"/>
              <w:spacing w:line="240" w:lineRule="auto"/>
            </w:pPr>
            <w:r>
              <w:t>$10, 000 per unit.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E45797" w:rsidP="007E6F9D">
            <w:pPr>
              <w:widowControl w:val="0"/>
              <w:spacing w:line="240" w:lineRule="auto"/>
            </w:pPr>
            <w:r>
              <w:t xml:space="preserve">moderate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43C15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low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CB0A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lastRenderedPageBreak/>
              <w:t>Hybrid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E45797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00000"/>
              </w:rPr>
              <w:t>$5,000 to $50,000 per unit.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E6F9D" w:rsidP="007E6F9D">
            <w:pPr>
              <w:widowControl w:val="0"/>
              <w:spacing w:line="240" w:lineRule="auto"/>
            </w:pPr>
            <w:r>
              <w:t>moderate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E6F9D">
            <w:pPr>
              <w:widowControl w:val="0"/>
              <w:spacing w:line="240" w:lineRule="auto"/>
            </w:pPr>
            <w:r>
              <w:t>high resolution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E6F9D">
            <w:pPr>
              <w:widowControl w:val="0"/>
              <w:spacing w:line="240" w:lineRule="auto"/>
            </w:pPr>
            <w:r>
              <w:t>fast data acquisition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 xml:space="preserve"> </w:t>
            </w:r>
            <w:r w:rsidR="00343C15">
              <w:t>low</w:t>
            </w:r>
          </w:p>
        </w:tc>
      </w:tr>
    </w:tbl>
    <w:p w:rsidR="00F3149D" w:rsidRDefault="00F3149D" w:rsidP="00F3149D">
      <w:pPr>
        <w:pStyle w:val="Heading2"/>
      </w:pPr>
      <w:r>
        <w:br/>
        <w:t>Summary</w:t>
      </w:r>
    </w:p>
    <w:p w:rsidR="00CB0AD3" w:rsidRDefault="00786CA4">
      <w:pPr>
        <w:spacing w:before="240" w:after="240"/>
      </w:pPr>
      <w:r>
        <w:t>Each type of LiDAR sensor exhibits distinct attributes that render them suitable for different applications:</w:t>
      </w:r>
    </w:p>
    <w:p w:rsidR="00CB0AD3" w:rsidRDefault="00786CA4">
      <w:pPr>
        <w:numPr>
          <w:ilvl w:val="0"/>
          <w:numId w:val="1"/>
        </w:numPr>
        <w:spacing w:before="240"/>
      </w:pPr>
      <w:r>
        <w:t>Mechanical scanning LiDAR sensors, with their lower initial cost, are ideal for applications that prioritize detailed environmental mapping and navigation over long distances but do not require high-speed scanning. However, their moderate durability and relatively high-power consumption might limit their suitability in dynamic and fast-paced environments.</w:t>
      </w:r>
    </w:p>
    <w:p w:rsidR="00CB0AD3" w:rsidRDefault="00786CA4">
      <w:pPr>
        <w:numPr>
          <w:ilvl w:val="0"/>
          <w:numId w:val="1"/>
        </w:numPr>
      </w:pPr>
      <w:r>
        <w:t>Solid-state LiDAR sensors, despite their higher cost, offer enhanced durability, high-speed scanning capabilities, and lower power consumption, making them a preferred choice for applications that demand reliable and precise data acquisition in dynamic and energy-conscious settings. However, they work best for short-range sensing.</w:t>
      </w:r>
    </w:p>
    <w:p w:rsidR="00CB0AD3" w:rsidRDefault="00786CA4">
      <w:pPr>
        <w:numPr>
          <w:ilvl w:val="0"/>
          <w:numId w:val="1"/>
        </w:numPr>
        <w:spacing w:after="240"/>
      </w:pPr>
      <w:r>
        <w:t>Hybrid LiDAR sensors strike a balance between the two, offering a blend of long-range sensing, high resolution, and fast data acquisition at a moderate cost. They are well-suited for applications that require comprehensive 3D perception while maintaining a reasonable budget.</w:t>
      </w:r>
    </w:p>
    <w:sectPr w:rsidR="00CB0AD3" w:rsidSect="00E56D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817"/>
    <w:multiLevelType w:val="multilevel"/>
    <w:tmpl w:val="C2B2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3F64D1"/>
    <w:multiLevelType w:val="multilevel"/>
    <w:tmpl w:val="E868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AD3"/>
    <w:rsid w:val="000E0FB7"/>
    <w:rsid w:val="001F4FE4"/>
    <w:rsid w:val="0029278B"/>
    <w:rsid w:val="002A3E80"/>
    <w:rsid w:val="002B7709"/>
    <w:rsid w:val="00343C15"/>
    <w:rsid w:val="003548AE"/>
    <w:rsid w:val="00360FF1"/>
    <w:rsid w:val="00743BC6"/>
    <w:rsid w:val="00786CA4"/>
    <w:rsid w:val="007C715D"/>
    <w:rsid w:val="007E6F9D"/>
    <w:rsid w:val="008947A1"/>
    <w:rsid w:val="008A2245"/>
    <w:rsid w:val="008E71A1"/>
    <w:rsid w:val="009218E3"/>
    <w:rsid w:val="0092434D"/>
    <w:rsid w:val="009E00C4"/>
    <w:rsid w:val="00A173C2"/>
    <w:rsid w:val="00CB0AD3"/>
    <w:rsid w:val="00D81069"/>
    <w:rsid w:val="00E45797"/>
    <w:rsid w:val="00E56D95"/>
    <w:rsid w:val="00EF1818"/>
    <w:rsid w:val="00EF39A5"/>
    <w:rsid w:val="00F3149D"/>
    <w:rsid w:val="00F8551D"/>
    <w:rsid w:val="00FA5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95"/>
  </w:style>
  <w:style w:type="paragraph" w:styleId="Heading1">
    <w:name w:val="heading 1"/>
    <w:basedOn w:val="Normal"/>
    <w:next w:val="Normal"/>
    <w:uiPriority w:val="9"/>
    <w:qFormat/>
    <w:rsid w:val="00E56D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56D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56D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56D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56D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56D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56D9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56D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6D9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56D9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Tsoko Malusi</dc:creator>
  <cp:lastModifiedBy>Asus</cp:lastModifiedBy>
  <cp:revision>4</cp:revision>
  <dcterms:created xsi:type="dcterms:W3CDTF">2024-07-06T11:24:00Z</dcterms:created>
  <dcterms:modified xsi:type="dcterms:W3CDTF">2024-07-25T19:43:00Z</dcterms:modified>
</cp:coreProperties>
</file>