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Prüfprozess</w:t>
      </w:r>
    </w:p>
    <w:p>
      <w:r>
        <w:t>Die Konformitätsbewertung erfolgt vor dem Inverkehrbringen.</w:t>
      </w:r>
    </w:p>
    <w:p>
      <w:r>
        <w:t>Der Anbieter erstellt eine EU-Konformitätserklärung.</w:t>
      </w:r>
    </w:p>
    <w:p>
      <w:pPr>
        <w:pStyle w:val="Heading2"/>
      </w:pPr>
      <w:r>
        <w:t>Dokumentation</w:t>
      </w:r>
    </w:p>
    <w:p>
      <w:r>
        <w:t>Technische Unterlagen sind zehn Jahre aufzubewahren.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