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c>
          <w:tcPr>
            <w:tcW w:type="dxa" w:w="7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17"/>
                <w:szCs w:val="17"/>
              </w:rPr>
              <w:t xml:space="preserve">CAS Application Development with AI (ADAI) · 2026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Modul 3 · Tag 2  —  Übungen: Patterns &amp; Architektur</w:t>
            </w:r>
          </w:p>
        </w:tc>
        <w:tc>
          <w:tcPr>
            <w:tcW w:type="dxa" w:w="2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BFH Biel · Ilja Rasin</w:t>
            </w:r>
          </w:p>
        </w:tc>
      </w:tr>
    </w:tbl>
    <w:p>
      <w:pPr>
        <w:pBdr>
          <w:bottom w:val="single" w:color="0891B2" w:sz="6" w:space="1"/>
        </w:pBdr>
        <w:spacing w:after="100" w:before="1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1E2761"/>
          <w:sz w:val="44"/>
          <w:szCs w:val="44"/>
        </w:rPr>
        <w:t xml:space="preserve">Patterns &amp; Architektur — Drei Übungen</w:t>
      </w: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0"/>
          <w:szCs w:val="20"/>
        </w:rPr>
        <w:t xml:space="preserve">Heute wendet ihr Architektur-Patterns auf euer Projekt an — und trefft finale Entscheidungen.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BE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28"/>
                <w:szCs w:val="28"/>
              </w:rPr>
              <w:t xml:space="preserve">Ü1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09:15–10:00</w:t>
            </w:r>
          </w:p>
          <w:p>
            <w:pPr>
              <w:spacing w:after="5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Monolith vs. Microservices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Finale Entscheidung für euer Projekt</w:t>
            </w:r>
          </w:p>
        </w:tc>
        <w:tc>
          <w:tcPr>
            <w:tcW w:type="dxa" w:w="312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28"/>
                <w:szCs w:val="28"/>
              </w:rPr>
              <w:t xml:space="preserve">Ü2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10:15–11:00</w:t>
            </w:r>
          </w:p>
          <w:p>
            <w:pPr>
              <w:spacing w:after="5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API-First Design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OpenAPI Spec mit AI</w:t>
            </w:r>
          </w:p>
        </w:tc>
        <w:tc>
          <w:tcPr>
            <w:tcW w:type="dxa" w:w="312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top"/>
          </w:tcPr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4C1D95"/>
                <w:sz w:val="28"/>
                <w:szCs w:val="28"/>
              </w:rPr>
              <w:t xml:space="preserve">Ü3</w:t>
            </w:r>
          </w:p>
          <w:p>
            <w:pPr>
              <w:spacing w:after="1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11:00–12:00</w:t>
            </w:r>
          </w:p>
          <w:p>
            <w:pPr>
              <w:spacing w:after="5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Patterns evaluieren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75569"/>
                <w:sz w:val="17"/>
                <w:szCs w:val="17"/>
              </w:rPr>
              <w:t xml:space="preserve">Event-Driven · CQRS · Strangler Fig</w:t>
            </w:r>
          </w:p>
        </w:tc>
      </w:tr>
    </w:tbl>
    <w:p>
      <w:pP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Ü1</w:t>
            </w:r>
          </w:p>
        </w:tc>
        <w:tc>
          <w:tcPr>
            <w:tcW w:type="dxa" w:w="86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Monolith vs. Microservices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09:15 – 10:00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Die wichtigste Architektur-Entscheidung — ehrlich betrachtet.</w:t>
            </w:r>
          </w:p>
        </w:tc>
      </w:tr>
    </w:tbl>
    <w:p>
      <w:pPr>
        <w:spacing w:after="80" w:before="80"/>
      </w:pP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Gestern habt ihr eine erste Entscheidung getroffen. Heute macht ihr sie final — mit echten Zahlen und ehrlicher Selbstreflexion.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92400E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Entscheidungsrahmen — Was passt zu euch?</w:t>
            </w:r>
          </w:p>
        </w:tc>
      </w:tr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200"/>
              <w:gridCol w:w="2200"/>
              <w:gridCol w:w="2460"/>
            </w:tblGrid>
            <w:tr>
              <w:tc>
                <w:tcPr>
                  <w:tcW w:type="dxa" w:w="22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Kriterium</w:t>
                  </w:r>
                </w:p>
              </w:tc>
              <w:tc>
                <w:tcPr>
                  <w:tcW w:type="dxa" w:w="22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2400E"/>
                      <w:sz w:val="19"/>
                      <w:szCs w:val="19"/>
                    </w:rPr>
                    <w:t xml:space="preserve">Monolith</w:t>
                  </w:r>
                </w:p>
              </w:tc>
              <w:tc>
                <w:tcPr>
                  <w:tcW w:type="dxa" w:w="22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82F6"/>
                      <w:sz w:val="19"/>
                      <w:szCs w:val="19"/>
                    </w:rPr>
                    <w:t xml:space="preserve">Modularer Monolith</w:t>
                  </w:r>
                </w:p>
              </w:tc>
              <w:tc>
                <w:tcPr>
                  <w:tcW w:type="dxa" w:w="246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9"/>
                      <w:szCs w:val="19"/>
                    </w:rPr>
                    <w:t xml:space="preserve">Microservices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9"/>
                      <w:szCs w:val="19"/>
                    </w:rPr>
                    <w:t xml:space="preserve">Team-Grösse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2400E"/>
                      <w:sz w:val="18"/>
                      <w:szCs w:val="18"/>
                    </w:rPr>
                    <w:t xml:space="preserve">1-3 Devs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B82F6"/>
                      <w:sz w:val="18"/>
                      <w:szCs w:val="18"/>
                    </w:rPr>
                    <w:t xml:space="preserve">2-8 Devs</w:t>
                  </w:r>
                </w:p>
              </w:tc>
              <w:tc>
                <w:tcPr>
                  <w:tcW w:type="dxa" w:w="2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C1D95"/>
                      <w:sz w:val="18"/>
                      <w:szCs w:val="18"/>
                    </w:rPr>
                    <w:t xml:space="preserve">&gt; 10 Devs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9"/>
                      <w:szCs w:val="19"/>
                    </w:rPr>
                    <w:t xml:space="preserve">Zeitrahmen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2400E"/>
                      <w:sz w:val="18"/>
                      <w:szCs w:val="18"/>
                    </w:rPr>
                    <w:t xml:space="preserve">&lt; 6 Monate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B82F6"/>
                      <w:sz w:val="18"/>
                      <w:szCs w:val="18"/>
                    </w:rPr>
                    <w:t xml:space="preserve">6-18 Monate</w:t>
                  </w:r>
                </w:p>
              </w:tc>
              <w:tc>
                <w:tcPr>
                  <w:tcW w:type="dxa" w:w="2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C1D95"/>
                      <w:sz w:val="18"/>
                      <w:szCs w:val="18"/>
                    </w:rPr>
                    <w:t xml:space="preserve">&gt; 18 Monate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9"/>
                      <w:szCs w:val="19"/>
                    </w:rPr>
                    <w:t xml:space="preserve">Domain-Klarheit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2400E"/>
                      <w:sz w:val="18"/>
                      <w:szCs w:val="18"/>
                    </w:rPr>
                    <w:t xml:space="preserve">Unbekannt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B82F6"/>
                      <w:sz w:val="18"/>
                      <w:szCs w:val="18"/>
                    </w:rPr>
                    <w:t xml:space="preserve">Teilweise klar</w:t>
                  </w:r>
                </w:p>
              </w:tc>
              <w:tc>
                <w:tcPr>
                  <w:tcW w:type="dxa" w:w="2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C1D95"/>
                      <w:sz w:val="18"/>
                      <w:szCs w:val="18"/>
                    </w:rPr>
                    <w:t xml:space="preserve">Sehr klar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9"/>
                      <w:szCs w:val="19"/>
                    </w:rPr>
                    <w:t xml:space="preserve">Skalierungsbedarf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2400E"/>
                      <w:sz w:val="18"/>
                      <w:szCs w:val="18"/>
                    </w:rPr>
                    <w:t xml:space="preserve">Niedrig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B82F6"/>
                      <w:sz w:val="18"/>
                      <w:szCs w:val="18"/>
                    </w:rPr>
                    <w:t xml:space="preserve">Mittel</w:t>
                  </w:r>
                </w:p>
              </w:tc>
              <w:tc>
                <w:tcPr>
                  <w:tcW w:type="dxa" w:w="2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C1D95"/>
                      <w:sz w:val="18"/>
                      <w:szCs w:val="18"/>
                    </w:rPr>
                    <w:t xml:space="preserve">Hoch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9"/>
                      <w:szCs w:val="19"/>
                    </w:rPr>
                    <w:t xml:space="preserve">Deployment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2400E"/>
                      <w:sz w:val="18"/>
                      <w:szCs w:val="18"/>
                    </w:rPr>
                    <w:t xml:space="preserve">Ein Mal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B82F6"/>
                      <w:sz w:val="18"/>
                      <w:szCs w:val="18"/>
                    </w:rPr>
                    <w:t xml:space="preserve">Pro Modul</w:t>
                  </w:r>
                </w:p>
              </w:tc>
              <w:tc>
                <w:tcPr>
                  <w:tcW w:type="dxa" w:w="2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C1D95"/>
                      <w:sz w:val="18"/>
                      <w:szCs w:val="18"/>
                    </w:rPr>
                    <w:t xml:space="preserve">Unabhängig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9"/>
                      <w:szCs w:val="19"/>
                    </w:rPr>
                    <w:t xml:space="preserve">Debugging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2400E"/>
                      <w:sz w:val="18"/>
                      <w:szCs w:val="18"/>
                    </w:rPr>
                    <w:t xml:space="preserve">Einfach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B82F6"/>
                      <w:sz w:val="18"/>
                      <w:szCs w:val="18"/>
                    </w:rPr>
                    <w:t xml:space="preserve">Mittel</w:t>
                  </w:r>
                </w:p>
              </w:tc>
              <w:tc>
                <w:tcPr>
                  <w:tcW w:type="dxa" w:w="2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C1D95"/>
                      <w:sz w:val="18"/>
                      <w:szCs w:val="18"/>
                    </w:rPr>
                    <w:t xml:space="preserve">Komplex</w:t>
                  </w:r>
                </w:p>
              </w:tc>
            </w:tr>
            <w:tr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E293B"/>
                      <w:sz w:val="19"/>
                      <w:szCs w:val="19"/>
                    </w:rPr>
                    <w:t xml:space="preserve">Netflix/Uber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2400E"/>
                      <w:sz w:val="18"/>
                      <w:szCs w:val="18"/>
                    </w:rPr>
                    <w:t xml:space="preserve">❌ Nein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B82F6"/>
                      <w:sz w:val="18"/>
                      <w:szCs w:val="18"/>
                    </w:rPr>
                    <w:t xml:space="preserve">✅ Ja (Start)</w:t>
                  </w:r>
                </w:p>
              </w:tc>
              <w:tc>
                <w:tcPr>
                  <w:tcW w:type="dxa" w:w="24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4F7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4C1D95"/>
                      <w:sz w:val="18"/>
                      <w:szCs w:val="18"/>
                    </w:rPr>
                    <w:t xml:space="preserve">✅ Heute</w:t>
                  </w:r>
                </w:p>
              </w:tc>
            </w:tr>
          </w:tbl>
          <w:p/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Teil 1 · Selbstcheck (10 Min)</w:t>
      </w:r>
    </w:p>
    <w:p>
      <w:pPr>
        <w:spacing w:after="7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Füllt diese Tabelle für euer Projekt aus — ehrlich: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Unser Projekt</w:t>
            </w:r>
          </w:p>
        </w:tc>
        <w:tc>
          <w:tcPr>
            <w:tcW w:type="dxa" w:w="6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Antwort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Team-Grösse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Zeitrahmen bis MVP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Kennen wir die Domain gut?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Erwartete Nutzerzahl (Jahr 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Grösster Skalierungs-Treiber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9"/>
                <w:szCs w:val="19"/>
              </w:rPr>
              <w:t xml:space="preserve">Unser ADR-002 von gestern sagte: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92400E"/>
          <w:sz w:val="22"/>
          <w:szCs w:val="22"/>
        </w:rPr>
        <w:t xml:space="preserve">Teil 2 · AI macht den Advocatus Diaboli (20 Min)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Gebt AI eure gestrige Entscheidung und lasst sie dagegen argumentieren: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Wir haben uns für [EUER PATTERN] entschieden.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Unser Kontext: [PROJEKTBESCHREIBUNG + TEAM + ZEITRAHMEN]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Spiele jetzt den Advocatus Diaboli: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1. Warum ist diese Entscheidung für uns FALSCH?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2. Was werden wir in 6 Monaten bereuen?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3. Welches Pattern wäre ehrlich gesagt besser — und warum?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4. Was müssen wir tun damit unsere Wahl wirklich funktioniert?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Die stärksten Gegenargumente von AI: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92400E"/>
                <w:sz w:val="18"/>
                <w:szCs w:val="18"/>
              </w:rPr>
              <w:t xml:space="preserve">Ändert ihr eure Entscheidung — oder bleibt ihr dabei? Begründung: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1B1B" w:sz="1"/>
              <w:left w:val="single" w:color="991B1B" w:sz="1"/>
              <w:bottom w:val="single" w:color="991B1B" w:sz="1"/>
              <w:right w:val="single" w:color="991B1B" w:sz="1"/>
            </w:tcBorders>
            <w:shd w:fill="FEF2F2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</w:t>
            </w:r>
            <w:r>
              <w:rPr>
                <w:rFonts w:ascii="Arial" w:cs="Arial" w:eastAsia="Arial" w:hAnsi="Arial"/>
                <w:color w:val="991B1B"/>
                <w:sz w:val="20"/>
                <w:szCs w:val="20"/>
              </w:rPr>
              <w:t xml:space="preserve">Netflix, Uber und Amazon starteten als Monolithen. Microservices kamen erst bei echten Skalierungsproblemen.</w:t>
            </w:r>
          </w:p>
        </w:tc>
      </w:tr>
    </w:tbl>
    <w:p>
      <w:pP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Ü2</w:t>
            </w:r>
          </w:p>
        </w:tc>
        <w:tc>
          <w:tcPr>
            <w:tcW w:type="dxa" w:w="86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API-First Design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10:15 – 11:00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API-Vertrag zuerst — dann implementieren.</w:t>
            </w:r>
          </w:p>
        </w:tc>
      </w:tr>
    </w:tbl>
    <w:p>
      <w:pPr>
        <w:spacing w:after="80" w:before="80"/>
      </w:pP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API-First bedeutet: Ihr definiert den Vertrag zwischen Frontend und Backend bevor eine Zeile Code geschrieben wird. Beide Seiten können dann parallel arbeiten.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Was ist OpenAPI / Swagger?</w:t>
            </w:r>
          </w:p>
        </w:tc>
      </w:tr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7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OpenAPI ist der Standard um REST APIs zu beschreiben — maschinenlesbar, menschenverständlich. Aus einer OpenAPI-Spec kann man automatisch generieren:</w:t>
            </w:r>
          </w:p>
          <w:tbl>
            <w:tblPr>
              <w:tblW w:type="dxa" w:w="90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3020"/>
              <w:gridCol w:w="3020"/>
              <w:gridCol w:w="3020"/>
            </w:tblGrid>
            <w:tr>
              <w:tc>
                <w:tcPr>
                  <w:tcW w:type="dxa" w:w="3020"/>
                  <w:tcBorders>
                    <w:top w:val="single" w:color="3B82F6" w:sz="1"/>
                    <w:left w:val="single" w:color="3B82F6" w:sz="1"/>
                    <w:bottom w:val="single" w:color="3B82F6" w:sz="1"/>
                    <w:right w:val="single" w:color="3B82F6" w:sz="1"/>
                  </w:tcBorders>
                  <w:shd w:fill="EFF6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2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82F6"/>
                      <w:sz w:val="20"/>
                      <w:szCs w:val="20"/>
                    </w:rPr>
                    <w:t xml:space="preserve">📄  Dokumentation</w:t>
                  </w:r>
                </w:p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Swagger UI — interaktive API-Docs die jeder versteht</w:t>
                  </w:r>
                </w:p>
              </w:tc>
              <w:tc>
                <w:tcPr>
                  <w:tcW w:type="dxa" w:w="302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ECFDF5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2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20"/>
                      <w:szCs w:val="20"/>
                    </w:rPr>
                    <w:t xml:space="preserve">💻  Client-Code</w:t>
                  </w:r>
                </w:p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TypeScript, Python, Java SDK — automatisch generiert</w:t>
                  </w:r>
                </w:p>
              </w:tc>
              <w:tc>
                <w:tcPr>
                  <w:tcW w:type="dxa" w:w="3020"/>
                  <w:tcBorders>
                    <w:top w:val="single" w:color="4C1D95" w:sz="1"/>
                    <w:left w:val="single" w:color="4C1D95" w:sz="1"/>
                    <w:bottom w:val="single" w:color="4C1D95" w:sz="1"/>
                    <w:right w:val="single" w:color="4C1D95" w:sz="1"/>
                  </w:tcBorders>
                  <w:shd w:fill="F5F3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2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20"/>
                      <w:szCs w:val="20"/>
                    </w:rPr>
                    <w:t xml:space="preserve">🧪  Mock-Server</w:t>
                  </w:r>
                </w:p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Frontend kann testen bevor Backend fertig ist</w:t>
                  </w:r>
                </w:p>
              </w:tc>
            </w:tr>
          </w:tbl>
          <w:p/>
        </w:tc>
      </w:tr>
    </w:tbl>
    <w:p>
      <w:pPr>
        <w:spacing w:after="100" w:before="10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Teil 1 · Wichtigsten Endpoint identifizieren (10 Min)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Welcher API-Endpoint ist für euer Projekt am kritischsten? Der der am häufigsten aufgerufen wird oder am meisten Logik hat: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Hier ist unser Projekt: [BESCHREIBUNG]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Hier sind unsere Must-have User Stories: [EINFÜGEN]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Welche 5 API-Endpoints sind für unseren MVP am wichtigsten?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Für jeden Endpoint: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HTTP Methode (GET/POST/PUT/DELETE)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Path (/api/v1/...)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Was macht er?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Wer ruft ihn auf?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500"/>
        <w:gridCol w:w="1800"/>
        <w:gridCol w:w="4060"/>
      </w:tblGrid>
      <w:tr>
        <w:tc>
          <w:tcPr>
            <w:tcW w:type="dxa" w:w="10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Path</w:t>
            </w:r>
          </w:p>
        </w:tc>
        <w:tc>
          <w:tcPr>
            <w:tcW w:type="dxa" w:w="180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Aufrufer</w:t>
            </w:r>
          </w:p>
        </w:tc>
        <w:tc>
          <w:tcPr>
            <w:tcW w:type="dxa" w:w="40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Was macht er?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p>
            <w:pPr>
              <w:spacing w:after="90" w:before="9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</w:tr>
    </w:tbl>
    <w:p>
      <w:pPr>
        <w:spacing w:after="8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3B82F6"/>
          <w:sz w:val="22"/>
          <w:szCs w:val="22"/>
        </w:rPr>
        <w:t xml:space="preserve">Teil 2 · OpenAPI Spec für wichtigsten Endpoint (25 Min)</w:t>
      </w:r>
    </w:p>
    <w:p>
      <w:pPr>
        <w:spacing w:after="6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Wählt den wichtigsten Endpoint und lasst AI eine vollständige OpenAPI-Spec schreiben: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top"/>
          </w:tcPr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Schreibe eine OpenAPI 3.0 Spec für diesen Endpoint: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Endpoint: [EUER WICHTIGSTER ENDPOINT]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Projekt: [BESCHREIBUNG]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Inkludiere: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Path, Method, Summary, Description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Request Body mit Beispiel (JSON Schema)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Response 200 mit Beispiel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Response 400, 401, 404, 422 mit Fehlerbeschreibungen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- Security: Bearer Token</w:t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/>
            </w:r>
          </w:p>
          <w:p>
            <w:pPr>
              <w:spacing w:after="25" w:before="25"/>
              <w:ind w:left="160"/>
            </w:pPr>
            <w:r>
              <w:rPr>
                <w:rFonts w:ascii="Courier New" w:cs="Courier New" w:eastAsia="Courier New" w:hAnsi="Courier New"/>
                <w:color w:val="69F0AE"/>
                <w:sz w:val="19"/>
                <w:szCs w:val="19"/>
              </w:rPr>
              <w:t xml:space="preserve">Format: YAML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3B82F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Unsere OpenAPI Spec — zum Einfügen / Überarbeiten</w:t>
            </w:r>
          </w:p>
        </w:tc>
      </w:tr>
      <w:tr>
        <w:tc>
          <w:tcPr>
            <w:tcW w:type="dxa" w:w="9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F46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F46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F46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F46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F46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F46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F46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F46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F46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F46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F46"/>
                <w:sz w:val="20"/>
                <w:szCs w:val="20"/>
              </w:rPr>
              <w:t xml:space="preserve"> 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65F46"/>
                <w:sz w:val="20"/>
                <w:szCs w:val="20"/>
              </w:rPr>
              <w:t xml:space="preserve"> </w:t>
            </w:r>
          </w:p>
        </w:tc>
      </w:tr>
    </w:tbl>
    <w:p>
      <w:pPr>
        <w:spacing w:after="70" w:before="7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82F6" w:sz="1"/>
              <w:left w:val="single" w:color="3B82F6" w:sz="1"/>
              <w:bottom w:val="single" w:color="3B82F6" w:sz="1"/>
              <w:right w:val="single" w:color="3B82F6" w:sz="1"/>
            </w:tcBorders>
            <w:shd w:fill="F4F7FF" w:val="clear"/>
            <w:tcMar>
              <w:top w:type="dxa" w:w="60"/>
              <w:left w:type="dxa" w:w="150"/>
              <w:bottom w:type="dxa" w:w="6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3B82F6"/>
                <w:sz w:val="18"/>
                <w:szCs w:val="18"/>
              </w:rPr>
              <w:t xml:space="preserve">Was überrascht euch an der generierten Spec?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AABBCC" w:sz="1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 w:before="260"/>
            </w:pPr>
          </w:p>
        </w:tc>
      </w:tr>
    </w:tbl>
    <w:p>
      <w:pPr>
        <w:spacing w:after="5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2400E" w:sz="1"/>
              <w:left w:val="single" w:color="92400E" w:sz="1"/>
              <w:bottom w:val="single" w:color="92400E" w:sz="1"/>
              <w:right w:val="single" w:color="92400E" w:sz="1"/>
            </w:tcBorders>
            <w:shd w:fill="FFFBEB" w:val="clear"/>
            <w:tcMar>
              <w:top w:type="dxa" w:w="70"/>
              <w:left w:type="dxa" w:w="150"/>
              <w:bottom w:type="dxa" w:w="7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</w:t>
            </w: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API-First Tipp: Speichert diese Spec in eurem Projekt-Repo als openapi.yaml. Sie wird eure Single Source of Truth für Frontend und Backend.</w:t>
            </w:r>
          </w:p>
        </w:tc>
      </w:tr>
    </w:tbl>
    <w:p>
      <w:pPr>
        <w:spacing w:after="160" w:before="16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70"/>
              <w:left w:type="dxa" w:w="60"/>
              <w:bottom w:type="dxa" w:w="70"/>
              <w:right w:type="dxa" w:w="6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 Black" w:cs="Arial Black" w:eastAsia="Arial Black" w:hAnsi="Arial Black"/>
                <w:b/>
                <w:bCs/>
                <w:color w:val="FFFFFF"/>
                <w:sz w:val="36"/>
                <w:szCs w:val="36"/>
              </w:rPr>
              <w:t xml:space="preserve">Ü3</w:t>
            </w:r>
          </w:p>
        </w:tc>
        <w:tc>
          <w:tcPr>
            <w:tcW w:type="dxa" w:w="86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75"/>
              <w:left w:type="dxa" w:w="100"/>
              <w:bottom w:type="dxa" w:w="75"/>
              <w:right w:type="dxa" w:w="100"/>
            </w:tcMar>
            <w:vAlign w:val="top"/>
          </w:tcPr>
          <w:p>
            <w:pPr>
              <w:spacing w:after="15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Patterns evaluieren</w:t>
            </w: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   ·   11:00 – 12:00</w:t>
            </w:r>
          </w:p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8"/>
                <w:szCs w:val="18"/>
              </w:rPr>
              <w:t xml:space="preserve">Event-Driven · CQRS · Strangler Fig — was braucht ihr wirklich?</w:t>
            </w:r>
          </w:p>
        </w:tc>
      </w:tr>
    </w:tbl>
    <w:p>
      <w:pPr>
        <w:spacing w:after="80" w:before="80"/>
      </w:pPr>
    </w:p>
    <w:p>
      <w:pPr>
        <w:spacing w:after="80" w:before="50"/>
        <w:jc w:val="left"/>
      </w:pPr>
      <w:r>
        <w:rPr>
          <w:rFonts w:ascii="Arial" w:cs="Arial" w:eastAsia="Arial" w:hAnsi="Arial"/>
          <w:b w:val="false"/>
          <w:bCs w:val="false"/>
          <w:color w:val="1E293B"/>
          <w:sz w:val="20"/>
          <w:szCs w:val="20"/>
        </w:rPr>
        <w:t xml:space="preserve">Drei Patterns — für jedes bewertet ihr ob es für euer Projekt sinnvoll ist. AI hilft euch die Konsequenzen verstehen.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DC2626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 1 · Event-Driven Architecture</w:t>
            </w:r>
          </w:p>
        </w:tc>
      </w:tr>
      <w:tr>
        <w:tc>
          <w:tcPr>
            <w:tcW w:type="dxa" w:w="9360"/>
            <w:tcBorders>
              <w:top w:val="single" w:color="DC2626" w:sz="1"/>
              <w:left w:val="single" w:color="DC2626" w:sz="1"/>
              <w:bottom w:val="single" w:color="DC2626" w:sz="1"/>
              <w:right w:val="single" w:color="DC2626" w:sz="1"/>
            </w:tcBorders>
            <w:shd w:fill="FE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tbl>
            <w:tblPr>
              <w:tblW w:type="dxa" w:w="90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30"/>
              <w:gridCol w:w="4530"/>
            </w:tblGrid>
            <w:tr>
              <w:tc>
                <w:tcPr>
                  <w:tcW w:type="dxa" w:w="45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2F2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4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C2626"/>
                      <w:sz w:val="19"/>
                      <w:szCs w:val="19"/>
                    </w:rPr>
                    <w:t xml:space="preserve">Was es ist:</w:t>
                  </w:r>
                </w:p>
                <w:p>
                  <w:pPr>
                    <w:spacing w:after="6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Komponenten kommunizieren via Events statt direkter Aufrufe. BookingService ruft nicht EmailService.send() auf — er publiziert BookingCreated. EmailService abonniert das Event.</w:t>
                  </w:r>
                </w:p>
                <w:p>
                  <w:pPr>
                    <w:spacing w:after="4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C2626"/>
                      <w:sz w:val="19"/>
                      <w:szCs w:val="19"/>
                    </w:rPr>
                    <w:t xml:space="preserve">Wann sinnvoll: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5" w:before="35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Async Prozesse: E-Mail, SMS, Push Notifications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5" w:before="35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Audit Log: alle Aktionen aufzeichnen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5" w:before="35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Entkopplung: Services sollen nichts voneinander wissen</w:t>
                  </w:r>
                </w:p>
              </w:tc>
              <w:tc>
                <w:tcPr>
                  <w:tcW w:type="dxa" w:w="45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EF2F2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4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991B1B"/>
                      <w:sz w:val="19"/>
                      <w:szCs w:val="19"/>
                    </w:rPr>
                    <w:t xml:space="preserve">Wann NICHT: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5" w:before="35"/>
                  </w:pPr>
                  <w:r>
                    <w:rPr>
                      <w:rFonts w:ascii="Arial" w:cs="Arial" w:eastAsia="Arial" w:hAnsi="Arial"/>
                      <w:color w:val="DC2626"/>
                      <w:sz w:val="20"/>
                      <w:szCs w:val="20"/>
                    </w:rPr>
                    <w:t xml:space="preserve">Kleines Team — viel Infrastruktur-Overhead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5" w:before="35"/>
                  </w:pPr>
                  <w:r>
                    <w:rPr>
                      <w:rFonts w:ascii="Arial" w:cs="Arial" w:eastAsia="Arial" w:hAnsi="Arial"/>
                      <w:color w:val="DC2626"/>
                      <w:sz w:val="20"/>
                      <w:szCs w:val="20"/>
                    </w:rPr>
                    <w:t xml:space="preserve">Einfache CRUD-Apps ohne Async-Bedarf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5" w:before="35"/>
                  </w:pPr>
                  <w:r>
                    <w:rPr>
                      <w:rFonts w:ascii="Arial" w:cs="Arial" w:eastAsia="Arial" w:hAnsi="Arial"/>
                      <w:color w:val="DC2626"/>
                      <w:sz w:val="20"/>
                      <w:szCs w:val="20"/>
                    </w:rPr>
                    <w:t xml:space="preserve">Wenn Debugging schon schwierig ist</w:t>
                  </w:r>
                </w:p>
                <w:p>
                  <w:pPr>
                    <w:spacing w:after="50" w:before="50"/>
                  </w:pPr>
                </w:p>
                <w:p>
                  <w:pPr>
                    <w:spacing w:after="4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C2626"/>
                      <w:sz w:val="19"/>
                      <w:szCs w:val="19"/>
                    </w:rPr>
                    <w:t xml:space="preserve">Für euer Projekt:</w:t>
                  </w:r>
                </w:p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30363D" w:sz="1"/>
                          <w:left w:val="single" w:color="30363D" w:sz="1"/>
                          <w:bottom w:val="single" w:color="30363D" w:sz="1"/>
                          <w:right w:val="single" w:color="30363D" w:sz="1"/>
                        </w:tcBorders>
                        <w:shd w:fill="0D1117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  <w:vAlign w:val="top"/>
                      </w:tcPr>
                      <w:p>
                        <w:pPr>
                          <w:spacing w:after="25" w:before="25"/>
                          <w:ind w:left="160"/>
                        </w:pPr>
                        <w:r>
                          <w:rPr>
                            <w:rFonts w:ascii="Courier New" w:cs="Courier New" w:eastAsia="Courier New" w:hAnsi="Courier New"/>
                            <w:color w:val="69F0AE"/>
                            <w:sz w:val="19"/>
                            <w:szCs w:val="19"/>
                          </w:rPr>
                          <w:t xml:space="preserve">Welche unserer User Stories würden von</w:t>
                        </w:r>
                      </w:p>
                      <w:p>
                        <w:pPr>
                          <w:spacing w:after="25" w:before="25"/>
                          <w:ind w:left="160"/>
                        </w:pPr>
                        <w:r>
                          <w:rPr>
                            <w:rFonts w:ascii="Courier New" w:cs="Courier New" w:eastAsia="Courier New" w:hAnsi="Courier New"/>
                            <w:color w:val="69F0AE"/>
                            <w:sz w:val="19"/>
                            <w:szCs w:val="19"/>
                          </w:rPr>
                          <w:t xml:space="preserve">Event-Driven profitieren?</w:t>
                        </w:r>
                      </w:p>
                      <w:p>
                        <w:pPr>
                          <w:spacing w:after="25" w:before="25"/>
                          <w:ind w:left="160"/>
                        </w:pPr>
                        <w:r>
                          <w:rPr>
                            <w:rFonts w:ascii="Courier New" w:cs="Courier New" w:eastAsia="Courier New" w:hAnsi="Courier New"/>
                            <w:color w:val="69F0AE"/>
                            <w:sz w:val="19"/>
                            <w:szCs w:val="19"/>
                          </w:rPr>
                          <w:t xml:space="preserve">Was wären die Events?</w:t>
                        </w:r>
                      </w:p>
                      <w:p>
                        <w:pPr>
                          <w:spacing w:after="25" w:before="25"/>
                          <w:ind w:left="160"/>
                        </w:pPr>
                        <w:r>
                          <w:rPr>
                            <w:rFonts w:ascii="Courier New" w:cs="Courier New" w:eastAsia="Courier New" w:hAnsi="Courier New"/>
                            <w:color w:val="69F0AE"/>
                            <w:sz w:val="19"/>
                            <w:szCs w:val="19"/>
                          </w:rPr>
                          <w:t xml:space="preserve">Lohnt sich der Aufwand für unser MVP?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60"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DC2626" w:sz="1"/>
                    <w:left w:val="single" w:color="DC2626" w:sz="1"/>
                    <w:bottom w:val="single" w:color="DC2626" w:sz="1"/>
                    <w:right w:val="single" w:color="DC2626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C2626"/>
                      <w:sz w:val="18"/>
                      <w:szCs w:val="18"/>
                    </w:rPr>
                    <w:t xml:space="preserve">Unsere Bewertung: Brauchen wir Event-Driven? Welche Events — und wann?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05966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 2 · CQRS — Command Query Responsibility Segregation</w:t>
            </w:r>
          </w:p>
        </w:tc>
      </w:tr>
      <w:tr>
        <w:tc>
          <w:tcPr>
            <w:tcW w:type="dxa" w:w="9360"/>
            <w:tcBorders>
              <w:top w:val="single" w:color="059669" w:sz="1"/>
              <w:left w:val="single" w:color="059669" w:sz="1"/>
              <w:bottom w:val="single" w:color="059669" w:sz="1"/>
              <w:right w:val="single" w:color="059669" w:sz="1"/>
            </w:tcBorders>
            <w:shd w:fill="ECFDF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tbl>
            <w:tblPr>
              <w:tblW w:type="dxa" w:w="90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30"/>
              <w:gridCol w:w="4530"/>
            </w:tblGrid>
            <w:tr>
              <w:tc>
                <w:tcPr>
                  <w:tcW w:type="dxa" w:w="45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CFDF5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4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9"/>
                      <w:szCs w:val="19"/>
                    </w:rPr>
                    <w:t xml:space="preserve">Was es ist:</w:t>
                  </w:r>
                </w:p>
                <w:p>
                  <w:pPr>
                    <w:spacing w:after="6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Schreib-Operationen (Commands) und Lese-Operationen (Queries) sind komplett getrennte Modelle. POST /bookings nutzt ein Write-Model, GET /bookings nutzt ein optimiertes Read-Model.</w:t>
                  </w:r>
                </w:p>
                <w:p>
                  <w:pPr>
                    <w:spacing w:after="4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9"/>
                      <w:szCs w:val="19"/>
                    </w:rPr>
                    <w:t xml:space="preserve">Wann sinnvoll: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5" w:before="35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Lese- und Schreiblast sehr unterschiedlich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5" w:before="35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Komplexe Domain-Logik beim Schreiben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5" w:before="35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Verschiedene Darstellungen derselben Daten</w:t>
                  </w:r>
                </w:p>
              </w:tc>
              <w:tc>
                <w:tcPr>
                  <w:tcW w:type="dxa" w:w="45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CFDF5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4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9"/>
                      <w:szCs w:val="19"/>
                    </w:rPr>
                    <w:t xml:space="preserve">Ehrliche Einschätzung:</w:t>
                  </w:r>
                </w:p>
                <w:p>
                  <w:pPr>
                    <w:spacing w:after="6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991B1B"/>
                      <w:sz w:val="18"/>
                      <w:szCs w:val="18"/>
                    </w:rPr>
                    <w:t xml:space="preserve">CQRS ist für die meisten MVPs Overkill. Es verdoppelt die Komplexität. Erst einsetzen wenn ihr echte Performance-Probleme habt — nicht vorbeugend.</w:t>
                  </w:r>
                </w:p>
                <w:p>
                  <w:pPr>
                    <w:spacing w:after="4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9"/>
                      <w:szCs w:val="19"/>
                    </w:rPr>
                    <w:t xml:space="preserve">Für euer Projekt:</w:t>
                  </w:r>
                </w:p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30363D" w:sz="1"/>
                          <w:left w:val="single" w:color="30363D" w:sz="1"/>
                          <w:bottom w:val="single" w:color="30363D" w:sz="1"/>
                          <w:right w:val="single" w:color="30363D" w:sz="1"/>
                        </w:tcBorders>
                        <w:shd w:fill="0D1117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  <w:vAlign w:val="top"/>
                      </w:tcPr>
                      <w:p>
                        <w:pPr>
                          <w:spacing w:after="25" w:before="25"/>
                          <w:ind w:left="160"/>
                        </w:pPr>
                        <w:r>
                          <w:rPr>
                            <w:rFonts w:ascii="Courier New" w:cs="Courier New" w:eastAsia="Courier New" w:hAnsi="Courier New"/>
                            <w:color w:val="69F0AE"/>
                            <w:sz w:val="19"/>
                            <w:szCs w:val="19"/>
                          </w:rPr>
                          <w:t xml:space="preserve">Habt ihr Endpoints die 100x häufiger</w:t>
                        </w:r>
                      </w:p>
                      <w:p>
                        <w:pPr>
                          <w:spacing w:after="25" w:before="25"/>
                          <w:ind w:left="160"/>
                        </w:pPr>
                        <w:r>
                          <w:rPr>
                            <w:rFonts w:ascii="Courier New" w:cs="Courier New" w:eastAsia="Courier New" w:hAnsi="Courier New"/>
                            <w:color w:val="69F0AE"/>
                            <w:sz w:val="19"/>
                            <w:szCs w:val="19"/>
                          </w:rPr>
                          <w:t xml:space="preserve">gelesen als geschrieben werden?</w:t>
                        </w:r>
                      </w:p>
                      <w:p>
                        <w:pPr>
                          <w:spacing w:after="25" w:before="25"/>
                          <w:ind w:left="160"/>
                        </w:pPr>
                        <w:r>
                          <w:rPr>
                            <w:rFonts w:ascii="Courier New" w:cs="Courier New" w:eastAsia="Courier New" w:hAnsi="Courier New"/>
                            <w:color w:val="69F0AE"/>
                            <w:sz w:val="19"/>
                            <w:szCs w:val="19"/>
                          </w:rPr>
                          <w:t xml:space="preserve">Braucht ihr CQRS jetzt — oder später?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60"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8"/>
                      <w:szCs w:val="18"/>
                    </w:rPr>
                    <w:t xml:space="preserve">Unsere Bewertung: CQRS jetzt, später oder nie? Begründung: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4C1D95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 3 · Strangler Fig — Legacy-Migration ohne Big Bang</w:t>
            </w:r>
          </w:p>
        </w:tc>
      </w:tr>
      <w:tr>
        <w:tc>
          <w:tcPr>
            <w:tcW w:type="dxa" w:w="9360"/>
            <w:tcBorders>
              <w:top w:val="single" w:color="4C1D95" w:sz="1"/>
              <w:left w:val="single" w:color="4C1D95" w:sz="1"/>
              <w:bottom w:val="single" w:color="4C1D95" w:sz="1"/>
              <w:right w:val="single" w:color="4C1D95" w:sz="1"/>
            </w:tcBorders>
            <w:shd w:fill="F5F3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tbl>
            <w:tblPr>
              <w:tblW w:type="dxa" w:w="906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</w:tblPr>
            <w:tblGrid>
              <w:gridCol w:w="4530"/>
              <w:gridCol w:w="4530"/>
            </w:tblGrid>
            <w:tr>
              <w:tc>
                <w:tcPr>
                  <w:tcW w:type="dxa" w:w="45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3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4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9"/>
                      <w:szCs w:val="19"/>
                    </w:rPr>
                    <w:t xml:space="preserve">Was es ist:</w:t>
                  </w:r>
                </w:p>
                <w:p>
                  <w:pPr>
                    <w:spacing w:after="6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Statt das alte System komplett neu zu schreiben ('Big Bang Rewrite' — fast immer ein Misserfolg), baut man das neue System neben dem alten auf. Ein Proxy leitet Requests schrittweise um. Das alte System 'stirbt' organisch.</w:t>
                  </w:r>
                </w:p>
                <w:p>
                  <w:pPr>
                    <w:spacing w:after="4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9"/>
                      <w:szCs w:val="19"/>
                    </w:rPr>
                    <w:t xml:space="preserve">Die 3 Schritte: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5" w:before="35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Proxy vor altes System stellen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5" w:before="35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Neuen Modul bauen → Proxy umleiten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35" w:before="35"/>
                  </w:pPr>
                  <w:r>
                    <w:rPr>
                      <w:rFonts w:ascii="Arial" w:cs="Arial" w:eastAsia="Arial" w:hAnsi="Arial"/>
                      <w:color w:val="1E293B"/>
                      <w:sz w:val="20"/>
                      <w:szCs w:val="20"/>
                    </w:rPr>
                    <w:t xml:space="preserve">Alten Modul abschalten wenn neu stabil</w:t>
                  </w:r>
                </w:p>
              </w:tc>
              <w:tc>
                <w:tcPr>
                  <w:tcW w:type="dxa" w:w="45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5F3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  <w:vAlign w:val="top"/>
                </w:tcPr>
                <w:p>
                  <w:pPr>
                    <w:spacing w:after="4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9"/>
                      <w:szCs w:val="19"/>
                    </w:rPr>
                    <w:t xml:space="preserve">Wann relevant für euch:</w:t>
                  </w:r>
                </w:p>
                <w:p>
                  <w:pPr>
                    <w:spacing w:after="60" w:before="5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1E293B"/>
                      <w:sz w:val="18"/>
                      <w:szCs w:val="18"/>
                    </w:rPr>
                    <w:t xml:space="preserve">Relevant wenn ihr bei der Arbeit Legacy-Systeme habt oder euer Projekt irgendwann ein Legacy wird. Fast jede längerfristige Software-Arbeit kommt dazu.</w:t>
                  </w:r>
                </w:p>
                <w:p>
                  <w:pPr>
                    <w:spacing w:after="4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9"/>
                      <w:szCs w:val="19"/>
                    </w:rPr>
                    <w:t xml:space="preserve">Für euer Projekt:</w:t>
                  </w:r>
                </w:p>
                <w:tbl>
                  <w:tblPr>
                    <w:tblW w:type="dxa" w:w="4330"/>
                    <w:tblBorders>
                      <w:top w:val="single" w:color="auto" w:sz="4"/>
                      <w:left w:val="single" w:color="auto" w:sz="4"/>
                      <w:bottom w:val="single" w:color="auto" w:sz="4"/>
                      <w:right w:val="single" w:color="auto" w:sz="4"/>
                      <w:insideH w:val="single" w:color="auto" w:sz="4"/>
                      <w:insideV w:val="single" w:color="auto" w:sz="4"/>
                    </w:tblBorders>
                  </w:tblPr>
                  <w:tblGrid>
                    <w:gridCol w:w="4330"/>
                  </w:tblGrid>
                  <w:tr>
                    <w:tc>
                      <w:tcPr>
                        <w:tcW w:type="dxa" w:w="4330"/>
                        <w:tcBorders>
                          <w:top w:val="single" w:color="30363D" w:sz="1"/>
                          <w:left w:val="single" w:color="30363D" w:sz="1"/>
                          <w:bottom w:val="single" w:color="30363D" w:sz="1"/>
                          <w:right w:val="single" w:color="30363D" w:sz="1"/>
                        </w:tcBorders>
                        <w:shd w:fill="0D1117" w:val="clear"/>
                        <w:tcMar>
                          <w:top w:type="dxa" w:w="80"/>
                          <w:left w:type="dxa" w:w="160"/>
                          <w:bottom w:type="dxa" w:w="80"/>
                          <w:right w:type="dxa" w:w="160"/>
                        </w:tcMar>
                        <w:vAlign w:val="top"/>
                      </w:tcPr>
                      <w:p>
                        <w:pPr>
                          <w:spacing w:after="25" w:before="25"/>
                          <w:ind w:left="160"/>
                        </w:pPr>
                        <w:r>
                          <w:rPr>
                            <w:rFonts w:ascii="Courier New" w:cs="Courier New" w:eastAsia="Courier New" w:hAnsi="Courier New"/>
                            <w:color w:val="69F0AE"/>
                            <w:sz w:val="19"/>
                            <w:szCs w:val="19"/>
                          </w:rPr>
                          <w:t xml:space="preserve">Gibt es Legacy-Systeme in eurem</w:t>
                        </w:r>
                      </w:p>
                      <w:p>
                        <w:pPr>
                          <w:spacing w:after="25" w:before="25"/>
                          <w:ind w:left="160"/>
                        </w:pPr>
                        <w:r>
                          <w:rPr>
                            <w:rFonts w:ascii="Courier New" w:cs="Courier New" w:eastAsia="Courier New" w:hAnsi="Courier New"/>
                            <w:color w:val="69F0AE"/>
                            <w:sz w:val="19"/>
                            <w:szCs w:val="19"/>
                          </w:rPr>
                          <w:t xml:space="preserve">beruflichen Kontext wo ihr dieses</w:t>
                        </w:r>
                      </w:p>
                      <w:p>
                        <w:pPr>
                          <w:spacing w:after="25" w:before="25"/>
                          <w:ind w:left="160"/>
                        </w:pPr>
                        <w:r>
                          <w:rPr>
                            <w:rFonts w:ascii="Courier New" w:cs="Courier New" w:eastAsia="Courier New" w:hAnsi="Courier New"/>
                            <w:color w:val="69F0AE"/>
                            <w:sz w:val="19"/>
                            <w:szCs w:val="19"/>
                          </w:rPr>
                          <w:t xml:space="preserve">Pattern anwenden könntet?</w:t>
                        </w:r>
                      </w:p>
                      <w:p>
                        <w:pPr>
                          <w:spacing w:after="25" w:before="25"/>
                          <w:ind w:left="160"/>
                        </w:pPr>
                        <w:r>
                          <w:rPr>
                            <w:rFonts w:ascii="Courier New" w:cs="Courier New" w:eastAsia="Courier New" w:hAnsi="Courier New"/>
                            <w:color w:val="69F0AE"/>
                            <w:sz w:val="19"/>
                            <w:szCs w:val="19"/>
                          </w:rPr>
                          <w:t xml:space="preserve">Was wäre der erste Schritt?</w:t>
                        </w:r>
                      </w:p>
                    </w:tc>
                  </w:tr>
                </w:tbl>
                <w:p/>
              </w:tc>
            </w:tr>
          </w:tbl>
          <w:p>
            <w:pPr>
              <w:spacing w:after="60" w:before="60"/>
            </w:pPr>
          </w:p>
          <w:tbl>
            <w:tblPr>
              <w:tblW w:type="dxa" w:w="9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360"/>
            </w:tblGrid>
            <w:tr>
              <w:tc>
                <w:tcPr>
                  <w:tcW w:type="dxa" w:w="9360"/>
                  <w:tcBorders>
                    <w:top w:val="single" w:color="4C1D95" w:sz="1"/>
                    <w:left w:val="single" w:color="4C1D95" w:sz="1"/>
                    <w:bottom w:val="single" w:color="4C1D95" w:sz="1"/>
                    <w:right w:val="single" w:color="4C1D95" w:sz="1"/>
                  </w:tcBorders>
                  <w:shd w:fill="F4F7FF" w:val="clear"/>
                  <w:tcMar>
                    <w:top w:type="dxa" w:w="60"/>
                    <w:left w:type="dxa" w:w="150"/>
                    <w:bottom w:type="dxa" w:w="6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8"/>
                      <w:szCs w:val="18"/>
                    </w:rPr>
                    <w:t xml:space="preserve">Strangler Fig in unserem Arbeitskontext — wo und wie?</w:t>
                  </w: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  <w:tr>
              <w:tc>
                <w:tcPr>
                  <w:tcW w:type="dxa" w:w="9360"/>
                  <w:tcBorders>
                    <w:top w:val="none" w:color="FFFFFF" w:sz="0"/>
                    <w:left w:val="none" w:color="FFFFFF" w:sz="0"/>
                    <w:bottom w:val="single" w:color="AABBCC" w:sz="1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after="0" w:before="260"/>
                  </w:pPr>
                </w:p>
              </w:tc>
            </w:tr>
          </w:tbl>
          <w:p/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1E2761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top"/>
          </w:tcPr>
          <w:p>
            <w:pPr>
              <w:spacing w:after="50" w:before="5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Pattern-Entscheidungsmatrix — euer finales Fazit</w:t>
            </w:r>
          </w:p>
        </w:tc>
      </w:tr>
      <w:tr>
        <w:tc>
          <w:tcPr>
            <w:tcW w:type="dxa" w:w="9360"/>
            <w:tcBorders>
              <w:top w:val="single" w:color="1E2761" w:sz="1"/>
              <w:left w:val="single" w:color="1E2761" w:sz="1"/>
              <w:bottom w:val="single" w:color="1E2761" w:sz="1"/>
              <w:right w:val="single" w:color="1E2761" w:sz="1"/>
            </w:tcBorders>
            <w:shd w:fill="F4F7FF" w:val="clear"/>
            <w:tcMar>
              <w:top w:type="dxa" w:w="90"/>
              <w:left w:type="dxa" w:w="150"/>
              <w:bottom w:type="dxa" w:w="90"/>
              <w:right w:type="dxa" w:w="150"/>
            </w:tcMar>
            <w:vAlign w:val="top"/>
          </w:tcPr>
          <w:tbl>
            <w:tblPr>
              <w:tblW w:type="dxa" w:w="90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500"/>
              <w:gridCol w:w="2200"/>
              <w:gridCol w:w="2200"/>
              <w:gridCol w:w="2160"/>
            </w:tblGrid>
            <w:tr>
              <w:tc>
                <w:tcPr>
                  <w:tcW w:type="dxa" w:w="25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Pattern</w:t>
                  </w:r>
                </w:p>
              </w:tc>
              <w:tc>
                <w:tcPr>
                  <w:tcW w:type="dxa" w:w="22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Für uns?</w:t>
                  </w:r>
                </w:p>
              </w:tc>
              <w:tc>
                <w:tcPr>
                  <w:tcW w:type="dxa" w:w="220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Wann?</w:t>
                  </w:r>
                </w:p>
              </w:tc>
              <w:tc>
                <w:tcPr>
                  <w:tcW w:type="dxa" w:w="2160"/>
                  <w:tcBorders>
                    <w:top w:val="single" w:color="1E2761" w:sz="1"/>
                    <w:left w:val="single" w:color="1E2761" w:sz="1"/>
                    <w:bottom w:val="single" w:color="1E2761" w:sz="1"/>
                    <w:right w:val="single" w:color="1E2761" w:sz="1"/>
                  </w:tcBorders>
                  <w:shd w:fill="1E2761" w:val="clear"/>
                  <w:tcMar>
                    <w:top w:type="dxa" w:w="70"/>
                    <w:left w:type="dxa" w:w="150"/>
                    <w:bottom w:type="dxa" w:w="7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Warum (nicht)?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DC2626" w:sz="1"/>
                    <w:left w:val="single" w:color="DC2626" w:sz="1"/>
                    <w:bottom w:val="single" w:color="DC2626" w:sz="1"/>
                    <w:right w:val="single" w:color="DC2626" w:sz="1"/>
                  </w:tcBorders>
                  <w:shd w:fill="FEF2F2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DC2626"/>
                      <w:sz w:val="19"/>
                      <w:szCs w:val="19"/>
                    </w:rPr>
                    <w:t xml:space="preserve">Event-Driven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EF2F2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90" w:before="9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EF2F2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90" w:before="9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EF2F2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90" w:before="9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059669" w:sz="1"/>
                    <w:left w:val="single" w:color="059669" w:sz="1"/>
                    <w:bottom w:val="single" w:color="059669" w:sz="1"/>
                    <w:right w:val="single" w:color="059669" w:sz="1"/>
                  </w:tcBorders>
                  <w:shd w:fill="ECFDF5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59669"/>
                      <w:sz w:val="19"/>
                      <w:szCs w:val="19"/>
                    </w:rPr>
                    <w:t xml:space="preserve">CQRS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DF5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90" w:before="9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DF5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90" w:before="9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CFDF5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90" w:before="9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4C1D95" w:sz="1"/>
                    <w:left w:val="single" w:color="4C1D95" w:sz="1"/>
                    <w:bottom w:val="single" w:color="4C1D95" w:sz="1"/>
                    <w:right w:val="single" w:color="4C1D95" w:sz="1"/>
                  </w:tcBorders>
                  <w:shd w:fill="F5F3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4C1D95"/>
                      <w:sz w:val="19"/>
                      <w:szCs w:val="19"/>
                    </w:rPr>
                    <w:t xml:space="preserve">Strangler Fig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90" w:before="9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90" w:before="9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5F3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90" w:before="9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2500"/>
                  <w:tcBorders>
                    <w:top w:val="single" w:color="3B82F6" w:sz="1"/>
                    <w:left w:val="single" w:color="3B82F6" w:sz="1"/>
                    <w:bottom w:val="single" w:color="3B82F6" w:sz="1"/>
                    <w:right w:val="single" w:color="3B82F6" w:sz="1"/>
                  </w:tcBorders>
                  <w:shd w:fill="EFF6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  <w:vAlign w:val="top"/>
                </w:tcPr>
                <w:p>
                  <w:pPr>
                    <w:spacing w:after="50" w:before="5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82F6"/>
                      <w:sz w:val="19"/>
                      <w:szCs w:val="19"/>
                    </w:rPr>
                    <w:t xml:space="preserve">API-First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FF6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90" w:before="9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FF6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90" w:before="9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type="dxa" w:w="21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FF6FF" w:val="clear"/>
                  <w:tcMar>
                    <w:top w:type="dxa" w:w="90"/>
                    <w:left w:type="dxa" w:w="150"/>
                    <w:bottom w:type="dxa" w:w="90"/>
                    <w:right w:type="dxa" w:w="150"/>
                  </w:tcMar>
                  <w:vAlign w:val="top"/>
                </w:tcPr>
                <w:p>
                  <w:pPr>
                    <w:spacing w:after="90" w:before="90"/>
                  </w:pPr>
                  <w:r>
                    <w:rPr>
                      <w:rFonts w:ascii="Arial" w:cs="Arial" w:eastAsia="Arial" w:hAnsi="Arial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/>
        </w:tc>
      </w:tr>
    </w:tbl>
    <w:p>
      <w:pPr>
        <w:spacing w:after="80" w:before="80"/>
      </w:pPr>
    </w:p>
    <w:p>
      <w:pPr>
        <w:pBdr>
          <w:bottom w:val="single" w:color="0891B2" w:sz="6" w:space="1"/>
        </w:pBdr>
        <w:spacing w:after="100" w:before="100"/>
      </w:pPr>
    </w:p>
    <w:p>
      <w:pPr>
        <w:spacing w:after="50" w:before="50"/>
        <w:jc w:val="center"/>
      </w:pPr>
      <w:r>
        <w:rPr>
          <w:rFonts w:ascii="Arial" w:cs="Arial" w:eastAsia="Arial" w:hAnsi="Arial"/>
          <w:b w:val="false"/>
          <w:bCs w:val="false"/>
          <w:color w:val="475569"/>
          <w:sz w:val="17"/>
          <w:szCs w:val="17"/>
        </w:rPr>
        <w:t xml:space="preserve">CAS ADAI 2026 · BFH Biel · Modul 3 Tag 2 · Ilja Rasin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2026-06-02T20:27:33.897Z</dcterms:created>
  <dcterms:modified xsi:type="dcterms:W3CDTF">2026-06-02T20:27:33.908Z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