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DonaTrack — Diagnóstico y Guía de Decisiones</w:t>
      </w:r>
    </w:p>
    <w:p>
      <w:pPr>
        <w:spacing w:before="0" w:after="240"/>
      </w:pPr>
      <w:r>
        <w:rPr>
          <w:rFonts w:ascii="Calibri" w:hAnsi="Calibri"/>
          <w:color w:val="4B5563"/>
          <w:sz w:val="24"/>
        </w:rPr>
        <w:t>Alineación Arquitectónica para la Reunión de Diseño de ENTREGA 4</w:t>
        <w:br/>
        <w:t>UTN-FRBA · Diseño de Sistemas (2026) · Grupo 5</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left w:val="single" w:sz="24" w:space="0" w:color="2563EB"/>
              <w:top w:val="none"/>
              <w:bottom w:val="none"/>
              <w:right w:val="none"/>
            </w:tcBorders>
          </w:tcPr>
          <w:p>
            <w:pPr>
              <w:spacing w:before="40" w:after="40"/>
            </w:pPr>
            <w:r>
              <w:rPr>
                <w:rFonts w:ascii="Calibri" w:hAnsi="Calibri"/>
                <w:b/>
                <w:color w:val="1D4ED8"/>
                <w:sz w:val="20"/>
              </w:rPr>
              <w:t xml:space="preserve">[OBJETIVO DEL DOCUMENTO] </w:t>
            </w:r>
            <w:r>
              <w:rPr>
                <w:rFonts w:ascii="Calibri" w:hAnsi="Calibri"/>
                <w:color w:val="1E293B"/>
                <w:sz w:val="20"/>
              </w:rPr>
              <w:t>Documento de trabajo para la sesión de diseño grupal (9 personas, 1–2 horas). Contiene el estado de situación del repositorio frente a los requerimientos de la cátedra, el desglose conceptual de las decisiones pendientes con alternativas y trade-offs, análisis de costos para AWS y la metodología de trabajo en subgrupos con plantillas de especificación.</w:t>
            </w:r>
          </w:p>
        </w:tc>
      </w:tr>
    </w:tbl>
    <w:p>
      <w:pPr>
        <w:spacing w:after="80"/>
      </w:pPr>
    </w:p>
    <w:p>
      <w:pPr>
        <w:pStyle w:val="Heading1"/>
        <w:keepNext/>
        <w:spacing w:before="360" w:after="120"/>
      </w:pPr>
      <w:r>
        <w:rPr>
          <w:rFonts w:ascii="Calibri" w:hAnsi="Calibri"/>
          <w:b/>
          <w:color w:val="1E3A8A"/>
          <w:sz w:val="36"/>
        </w:rPr>
        <w:t>1. Estado del Repositorio vs. Requerimientos de la Entrega 4</w:t>
      </w:r>
    </w:p>
    <w:p>
      <w:r>
        <w:rPr>
          <w:rFonts w:ascii="Calibri" w:hAnsi="Calibri"/>
          <w:sz w:val="20"/>
        </w:rPr>
        <w:t>A partir de la consigna formal de cátedra (Enunciado 4, pág. 24) y la inspección del código fuente y documentación local, se identifican 4 ejes fundamentales de trabajo y sus brechas operativas: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340"/>
        <w:gridCol w:w="2340"/>
        <w:gridCol w:w="2340"/>
        <w:gridCol w:w="2340"/>
      </w:tblGrid>
      <w:tr>
        <w:tc>
          <w:tcPr>
            <w:tcW w:type="dxa" w:w="2160"/>
            <w:shd w:fill="1E3A8A"/>
            <w:tcMar>
              <w:top w:w="120" w:type="dxa"/>
              <w:bottom w:w="120" w:type="dxa"/>
              <w:left w:w="120" w:type="dxa"/>
              <w:right w:w="120" w:type="dxa"/>
            </w:tcMar>
          </w:tcPr>
          <w:p>
            <w:pPr>
              <w:jc w:val="center"/>
            </w:pPr>
            <w:r>
              <w:rPr>
                <w:rFonts w:ascii="Calibri" w:hAnsi="Calibri"/>
                <w:b/>
                <w:color w:val="FFFFFF"/>
                <w:sz w:val="19"/>
              </w:rPr>
              <w:t>Requerimiento de Cátedra</w:t>
            </w:r>
          </w:p>
        </w:tc>
        <w:tc>
          <w:tcPr>
            <w:tcW w:type="dxa" w:w="1728"/>
            <w:shd w:fill="1E3A8A"/>
            <w:tcMar>
              <w:top w:w="120" w:type="dxa"/>
              <w:bottom w:w="120" w:type="dxa"/>
              <w:left w:w="120" w:type="dxa"/>
              <w:right w:w="120" w:type="dxa"/>
            </w:tcMar>
          </w:tcPr>
          <w:p>
            <w:pPr>
              <w:jc w:val="center"/>
            </w:pPr>
            <w:r>
              <w:rPr>
                <w:rFonts w:ascii="Calibri" w:hAnsi="Calibri"/>
                <w:b/>
                <w:color w:val="FFFFFF"/>
                <w:sz w:val="19"/>
              </w:rPr>
              <w:t>Estado en Repo</w:t>
            </w:r>
          </w:p>
        </w:tc>
        <w:tc>
          <w:tcPr>
            <w:tcW w:type="dxa" w:w="2880"/>
            <w:shd w:fill="1E3A8A"/>
            <w:tcMar>
              <w:top w:w="120" w:type="dxa"/>
              <w:bottom w:w="120" w:type="dxa"/>
              <w:left w:w="120" w:type="dxa"/>
              <w:right w:w="120" w:type="dxa"/>
            </w:tcMar>
          </w:tcPr>
          <w:p>
            <w:pPr>
              <w:jc w:val="center"/>
            </w:pPr>
            <w:r>
              <w:rPr>
                <w:rFonts w:ascii="Calibri" w:hAnsi="Calibri"/>
                <w:b/>
                <w:color w:val="FFFFFF"/>
                <w:sz w:val="19"/>
              </w:rPr>
              <w:t>Evidencia en Código / Docs</w:t>
            </w:r>
          </w:p>
        </w:tc>
        <w:tc>
          <w:tcPr>
            <w:tcW w:type="dxa" w:w="2592"/>
            <w:shd w:fill="1E3A8A"/>
            <w:tcMar>
              <w:top w:w="120" w:type="dxa"/>
              <w:bottom w:w="120" w:type="dxa"/>
              <w:left w:w="120" w:type="dxa"/>
              <w:right w:w="120" w:type="dxa"/>
            </w:tcMar>
          </w:tcPr>
          <w:p>
            <w:pPr>
              <w:jc w:val="center"/>
            </w:pPr>
            <w:r>
              <w:rPr>
                <w:rFonts w:ascii="Calibri" w:hAnsi="Calibri"/>
                <w:b/>
                <w:color w:val="FFFFFF"/>
                <w:sz w:val="19"/>
              </w:rPr>
              <w:t>Brecha / Trabajo Pendiente</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1. Cola de Mensajes para Notificaciones (Asincrónica)</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Parcial (Diseño listo, código pendiente)</w:t>
            </w:r>
          </w:p>
        </w:tc>
        <w:tc>
          <w:tcPr>
            <w:tcW w:type="dxa" w:w="2880"/>
            <w:shd w:fill="FFFFFF"/>
            <w:tcMar>
              <w:top w:w="100" w:type="dxa"/>
              <w:bottom w:w="100" w:type="dxa"/>
              <w:left w:w="120" w:type="dxa"/>
              <w:right w:w="120" w:type="dxa"/>
            </w:tcMar>
          </w:tcPr>
          <w:p>
            <w:pPr>
              <w:spacing w:before="40" w:after="40"/>
            </w:pPr>
            <w:r>
              <w:rPr>
                <w:rFonts w:ascii="Calibri" w:hAnsi="Calibri"/>
                <w:color w:val="334155"/>
                <w:sz w:val="18"/>
              </w:rPr>
              <w:t>SPEC-03 completó Etapa 1. Existen 10 JSON Schemas v1. Feign sigue activo en donaciones e incentivos.</w:t>
            </w:r>
          </w:p>
        </w:tc>
        <w:tc>
          <w:tcPr>
            <w:tcW w:type="dxa" w:w="2592"/>
            <w:shd w:fill="FFFFFF"/>
            <w:tcMar>
              <w:top w:w="100" w:type="dxa"/>
              <w:bottom w:w="100" w:type="dxa"/>
              <w:left w:w="120" w:type="dxa"/>
              <w:right w:w="120" w:type="dxa"/>
            </w:tcMar>
          </w:tcPr>
          <w:p>
            <w:pPr>
              <w:spacing w:before="40" w:after="40"/>
            </w:pPr>
            <w:r>
              <w:rPr>
                <w:rFonts w:ascii="Calibri" w:hAnsi="Calibri"/>
                <w:color w:val="334155"/>
                <w:sz w:val="18"/>
              </w:rPr>
              <w:t>Implementar Etapa 2: colas y bindings segregados, publishers AMQP con RabbitTemplate, deduplicación en Transactional Inbox y corte de Feign.</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2. Broker de Integración con Logística (&gt;= 2 proveedores)</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No iniciado</w:t>
            </w:r>
          </w:p>
        </w:tc>
        <w:tc>
          <w:tcPr>
            <w:tcW w:type="dxa" w:w="2880"/>
            <w:shd w:fill="F8FAFC"/>
            <w:tcMar>
              <w:top w:w="100" w:type="dxa"/>
              <w:bottom w:w="100" w:type="dxa"/>
              <w:left w:w="120" w:type="dxa"/>
              <w:right w:w="120" w:type="dxa"/>
            </w:tcMar>
          </w:tcPr>
          <w:p>
            <w:pPr>
              <w:spacing w:before="40" w:after="40"/>
            </w:pPr>
            <w:r>
              <w:rPr>
                <w:rFonts w:ascii="Calibri" w:hAnsi="Calibri"/>
                <w:color w:val="334155"/>
                <w:sz w:val="18"/>
              </w:rPr>
              <w:t>donaciones-service invoca directamente a logistica-service vía Feign síncrono. Sin abstracción mediadora.</w:t>
            </w:r>
          </w:p>
        </w:tc>
        <w:tc>
          <w:tcPr>
            <w:tcW w:type="dxa" w:w="2592"/>
            <w:shd w:fill="F8FAFC"/>
            <w:tcMar>
              <w:top w:w="100" w:type="dxa"/>
              <w:bottom w:w="100" w:type="dxa"/>
              <w:left w:w="120" w:type="dxa"/>
              <w:right w:w="120" w:type="dxa"/>
            </w:tcMar>
          </w:tcPr>
          <w:p>
            <w:pPr>
              <w:spacing w:before="40" w:after="40"/>
            </w:pPr>
            <w:r>
              <w:rPr>
                <w:rFonts w:ascii="Calibri" w:hAnsi="Calibri"/>
                <w:color w:val="334155"/>
                <w:sz w:val="18"/>
              </w:rPr>
              <w:t>Diseñar la interfaz del Broker (Strategy + Adapter), desacoplar la llamada y soportar el servicio propio y un mock de segundo proveedor.</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3. Despliegue en la Nube de Logística (Pausable)</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Parcial (Contenedor listo, sin cloud)</w:t>
            </w:r>
          </w:p>
        </w:tc>
        <w:tc>
          <w:tcPr>
            <w:tcW w:type="dxa" w:w="2880"/>
            <w:shd w:fill="FFFFFF"/>
            <w:tcMar>
              <w:top w:w="100" w:type="dxa"/>
              <w:bottom w:w="100" w:type="dxa"/>
              <w:left w:w="120" w:type="dxa"/>
              <w:right w:w="120" w:type="dxa"/>
            </w:tcMar>
          </w:tcPr>
          <w:p>
            <w:pPr>
              <w:spacing w:before="40" w:after="40"/>
            </w:pPr>
            <w:r>
              <w:rPr>
                <w:rFonts w:ascii="Calibri" w:hAnsi="Calibri"/>
                <w:color w:val="334155"/>
                <w:sz w:val="18"/>
              </w:rPr>
              <w:t>Dockerfile multi-stage funcional (Temurin 21). application.properties lee ${PORT:8083}. Sin entorno cloud.</w:t>
            </w:r>
          </w:p>
        </w:tc>
        <w:tc>
          <w:tcPr>
            <w:tcW w:type="dxa" w:w="2592"/>
            <w:shd w:fill="FFFFFF"/>
            <w:tcMar>
              <w:top w:w="100" w:type="dxa"/>
              <w:bottom w:w="100" w:type="dxa"/>
              <w:left w:w="120" w:type="dxa"/>
              <w:right w:w="120" w:type="dxa"/>
            </w:tcMar>
          </w:tcPr>
          <w:p>
            <w:pPr>
              <w:spacing w:before="40" w:after="40"/>
            </w:pPr>
            <w:r>
              <w:rPr>
                <w:rFonts w:ascii="Calibri" w:hAnsi="Calibri"/>
                <w:color w:val="334155"/>
                <w:sz w:val="18"/>
              </w:rPr>
              <w:t>Seleccionar plataforma (AWS App Runner / EC2 / PaaS), resolver conexión a RabbitMQ, desplegar y documentar URIs públicas.</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4. Modelo de Datos: DER Físico por Servicio</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No iniciado (Salvo Notificaciones)</w:t>
            </w:r>
          </w:p>
        </w:tc>
        <w:tc>
          <w:tcPr>
            <w:tcW w:type="dxa" w:w="2880"/>
            <w:shd w:fill="F8FAFC"/>
            <w:tcMar>
              <w:top w:w="100" w:type="dxa"/>
              <w:bottom w:w="100" w:type="dxa"/>
              <w:left w:w="120" w:type="dxa"/>
              <w:right w:w="120" w:type="dxa"/>
            </w:tcMar>
          </w:tcPr>
          <w:p>
            <w:pPr>
              <w:spacing w:before="40" w:after="40"/>
            </w:pPr>
            <w:r>
              <w:rPr>
                <w:rFonts w:ascii="Calibri" w:hAnsi="Calibri"/>
                <w:color w:val="334155"/>
                <w:sz w:val="18"/>
              </w:rPr>
              <w:t>ADR 20260902 multi-schema PostgreSQL. Solo notificaciones tiene Flyway/SQL. Donaciones, Logística e Incentivos en memoria.</w:t>
            </w:r>
          </w:p>
        </w:tc>
        <w:tc>
          <w:tcPr>
            <w:tcW w:type="dxa" w:w="2592"/>
            <w:shd w:fill="F8FAFC"/>
            <w:tcMar>
              <w:top w:w="100" w:type="dxa"/>
              <w:bottom w:w="100" w:type="dxa"/>
              <w:left w:w="120" w:type="dxa"/>
              <w:right w:w="120" w:type="dxa"/>
            </w:tcMar>
          </w:tcPr>
          <w:p>
            <w:pPr>
              <w:spacing w:before="40" w:after="40"/>
            </w:pPr>
            <w:r>
              <w:rPr>
                <w:rFonts w:ascii="Calibri" w:hAnsi="Calibri"/>
                <w:color w:val="334155"/>
                <w:sz w:val="18"/>
              </w:rPr>
              <w:t>La cátedra SOLO exige el DER físico en esta entrega (diagramas con tipos SQL, PKs, FKs e índices). No requiere código JPA generalizado.</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5. Modelo de Clases Actualizado</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Alineado</w:t>
            </w:r>
          </w:p>
        </w:tc>
        <w:tc>
          <w:tcPr>
            <w:tcW w:type="dxa" w:w="2880"/>
            <w:shd w:fill="FFFFFF"/>
            <w:tcMar>
              <w:top w:w="100" w:type="dxa"/>
              <w:bottom w:w="100" w:type="dxa"/>
              <w:left w:w="120" w:type="dxa"/>
              <w:right w:w="120" w:type="dxa"/>
            </w:tcMar>
          </w:tcPr>
          <w:p>
            <w:pPr>
              <w:spacing w:before="40" w:after="40"/>
            </w:pPr>
            <w:r>
              <w:rPr>
                <w:rFonts w:ascii="Calibri" w:hAnsi="Calibri"/>
                <w:color w:val="334155"/>
                <w:sz w:val="18"/>
              </w:rPr>
              <w:t>Modelos DDD documentados en docs/arquitectura/aggregates-*.md.</w:t>
            </w:r>
          </w:p>
        </w:tc>
        <w:tc>
          <w:tcPr>
            <w:tcW w:type="dxa" w:w="2592"/>
            <w:shd w:fill="FFFFFF"/>
            <w:tcMar>
              <w:top w:w="100" w:type="dxa"/>
              <w:bottom w:w="100" w:type="dxa"/>
              <w:left w:w="120" w:type="dxa"/>
              <w:right w:w="120" w:type="dxa"/>
            </w:tcMar>
          </w:tcPr>
          <w:p>
            <w:pPr>
              <w:spacing w:before="40" w:after="40"/>
            </w:pPr>
            <w:r>
              <w:rPr>
                <w:rFonts w:ascii="Calibri" w:hAnsi="Calibri"/>
                <w:color w:val="334155"/>
                <w:sz w:val="18"/>
              </w:rPr>
              <w:t>Actualizar diagramas UML para incorporar interfaces del Broker y nuevos Value Objects de integración.</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6. Justificaciones de Diseño (ADRs)</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Avanzado</w:t>
            </w:r>
          </w:p>
        </w:tc>
        <w:tc>
          <w:tcPr>
            <w:tcW w:type="dxa" w:w="2880"/>
            <w:shd w:fill="F8FAFC"/>
            <w:tcMar>
              <w:top w:w="100" w:type="dxa"/>
              <w:bottom w:w="100" w:type="dxa"/>
              <w:left w:w="120" w:type="dxa"/>
              <w:right w:w="120" w:type="dxa"/>
            </w:tcMar>
          </w:tcPr>
          <w:p>
            <w:pPr>
              <w:spacing w:before="40" w:after="40"/>
            </w:pPr>
            <w:r>
              <w:rPr>
                <w:rFonts w:ascii="Calibri" w:hAnsi="Calibri"/>
                <w:color w:val="334155"/>
                <w:sz w:val="18"/>
              </w:rPr>
              <w:t>docs/entrega-4/arquitectura/principios.md formalizado con 59 ADRs existentes.</w:t>
            </w:r>
          </w:p>
        </w:tc>
        <w:tc>
          <w:tcPr>
            <w:tcW w:type="dxa" w:w="2592"/>
            <w:shd w:fill="F8FAFC"/>
            <w:tcMar>
              <w:top w:w="100" w:type="dxa"/>
              <w:bottom w:w="100" w:type="dxa"/>
              <w:left w:w="120" w:type="dxa"/>
              <w:right w:w="120" w:type="dxa"/>
            </w:tcMar>
          </w:tcPr>
          <w:p>
            <w:pPr>
              <w:spacing w:before="40" w:after="40"/>
            </w:pPr>
            <w:r>
              <w:rPr>
                <w:rFonts w:ascii="Calibri" w:hAnsi="Calibri"/>
                <w:color w:val="334155"/>
                <w:sz w:val="18"/>
              </w:rPr>
              <w:t>Formalizar ADR específico para el Broker de Logística y la estrategia de infraestructura de nube.</w:t>
            </w:r>
          </w:p>
        </w:tc>
      </w:tr>
    </w:tbl>
    <w:p>
      <w:pPr>
        <w:pStyle w:val="Heading1"/>
        <w:keepNext/>
        <w:spacing w:before="360" w:after="120"/>
      </w:pPr>
      <w:r>
        <w:rPr>
          <w:rFonts w:ascii="Calibri" w:hAnsi="Calibri"/>
          <w:b/>
          <w:color w:val="1E3A8A"/>
          <w:sz w:val="36"/>
        </w:rPr>
        <w:t>2. Frente 1: Broker de Integración con Logística</w:t>
      </w:r>
    </w:p>
    <w:p>
      <w:r>
        <w:rPr>
          <w:rFonts w:ascii="Calibri" w:hAnsi="Calibri"/>
          <w:sz w:val="20"/>
        </w:rPr>
        <w:t>¿Qué pide la cátedra? «Para la integración entre el servicio de donaciones y el servicio de logística deberá implementarse un broker. Este broker deberá permitir seleccionar entre más de 1 servicio de logística disponible, entendiendo que está el propio servicio construido y otro servicio potencial que cumple igual objetivo.»</w:t>
        <w:br/>
        <w:br/>
        <w:t>Concepto clave: En diseño arquitectónico, un Broker actúa como mediador e intermediario desacoplador. No requiere obligatoriamente ser un nuevo servidor o middleware físico: su función es garantizar que Donaciones no conozca detalles concretos de los proveedores logísticos (interno vs. tercerizado), delegando la selección en criterios configurables.</w:t>
      </w:r>
    </w:p>
    <w:p>
      <w:pPr>
        <w:pStyle w:val="Heading2"/>
        <w:keepNext/>
        <w:spacing w:before="280" w:after="80"/>
      </w:pPr>
      <w:r>
        <w:rPr>
          <w:rFonts w:ascii="Calibri" w:hAnsi="Calibri"/>
          <w:b/>
          <w:color w:val="2563EB"/>
          <w:sz w:val="28"/>
        </w:rPr>
        <w:t>Alternativas de Diseño y Trade-offs</w:t>
      </w:r>
    </w:p>
    <w:p>
      <w:r>
        <w:rPr>
          <w:rFonts w:ascii="Calibri" w:hAnsi="Calibri"/>
          <w:sz w:val="19"/>
        </w:rPr>
        <w:t>• Alternativa A — Broker In-Process (Strategy + Gateway/Adapter dentro de donaciones-service):</w:t>
        <w:br/>
        <w:t xml:space="preserve">  Cómo funciona: Se modela una interfaz ILogisticaBroker que administra múltiples implementaciones de IProveedorLogisticaAdapter. Un adaptador invoca a nuestro logistica-service (vía REST o AMQP) y otro invoca a un servicio externo/mock. La selección se realiza por configuración o lógica de negocio (patrón Strategy).</w:t>
        <w:br/>
        <w:t xml:space="preserve">  Trade-offs: Simplicidad extrema (KISS/YAGNI). Cero sobrecarga de memoria en Docker, cero complejidad de red adicional, fácil de testear con JUnit. Como contra, la lógica de selección vive dentro del proceso de Donaciones.</w:t>
        <w:br/>
        <w:br/>
        <w:t>• Alternativa B — Microservicio Independiente (logistica-broker-service / API Gateway):</w:t>
        <w:br/>
        <w:t xml:space="preserve">  Cómo funciona: Un quinto microservicio Spring Boot expone un endpoint HTTP al que Donaciones despacha las solicitudes. El broker actúa como router/proxy inverso hacia el proveedor correspondiente.</w:t>
        <w:br/>
        <w:t xml:space="preserve">  Trade-offs: Aislamiento total de procesos. Sin embargo, añade +250 MB de RAM a Docker, un nuevo puerto, configuración en CI/CD, latencia de doble salto HTTP y nuevo punto único de fallo si el broker cae.</w:t>
        <w:br/>
        <w:br/>
        <w:t>• Alternativa C — Broker Asíncrono Basado en Mensajería (Topic Exchange / Router AMQP):</w:t>
        <w:br/>
        <w:t xml:space="preserve">  Cómo funciona: Donaciones publica un mensaje a RabbitMQ y un router o routing key direcciona el comando hacia colas específicas de cada proveedor.</w:t>
        <w:br/>
        <w:t xml:space="preserve">  Trade-offs: Máximo desacoplamiento temporal. Pero si el flujo de planificación requiere confirmación síncrona o batch ID inmediato, implementar Request-Reply sobre colas AMQP genera sobre-ingeniería innecesaria.</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340"/>
        <w:gridCol w:w="2340"/>
        <w:gridCol w:w="2340"/>
        <w:gridCol w:w="2340"/>
      </w:tblGrid>
      <w:tr>
        <w:tc>
          <w:tcPr>
            <w:tcW w:type="dxa" w:w="2592"/>
            <w:shd w:fill="1E3A8A"/>
            <w:tcMar>
              <w:top w:w="120" w:type="dxa"/>
              <w:bottom w:w="120" w:type="dxa"/>
              <w:left w:w="120" w:type="dxa"/>
              <w:right w:w="120" w:type="dxa"/>
            </w:tcMar>
          </w:tcPr>
          <w:p>
            <w:pPr>
              <w:jc w:val="center"/>
            </w:pPr>
            <w:r>
              <w:rPr>
                <w:rFonts w:ascii="Calibri" w:hAnsi="Calibri"/>
                <w:b/>
                <w:color w:val="FFFFFF"/>
                <w:sz w:val="19"/>
              </w:rPr>
              <w:t>Criterio</w:t>
            </w:r>
          </w:p>
        </w:tc>
        <w:tc>
          <w:tcPr>
            <w:tcW w:type="dxa" w:w="2304"/>
            <w:shd w:fill="1E3A8A"/>
            <w:tcMar>
              <w:top w:w="120" w:type="dxa"/>
              <w:bottom w:w="120" w:type="dxa"/>
              <w:left w:w="120" w:type="dxa"/>
              <w:right w:w="120" w:type="dxa"/>
            </w:tcMar>
          </w:tcPr>
          <w:p>
            <w:pPr>
              <w:jc w:val="center"/>
            </w:pPr>
            <w:r>
              <w:rPr>
                <w:rFonts w:ascii="Calibri" w:hAnsi="Calibri"/>
                <w:b/>
                <w:color w:val="FFFFFF"/>
                <w:sz w:val="19"/>
              </w:rPr>
              <w:t>Alt. A: In-Process (Strategy)</w:t>
            </w:r>
          </w:p>
        </w:tc>
        <w:tc>
          <w:tcPr>
            <w:tcW w:type="dxa" w:w="2304"/>
            <w:shd w:fill="1E3A8A"/>
            <w:tcMar>
              <w:top w:w="120" w:type="dxa"/>
              <w:bottom w:w="120" w:type="dxa"/>
              <w:left w:w="120" w:type="dxa"/>
              <w:right w:w="120" w:type="dxa"/>
            </w:tcMar>
          </w:tcPr>
          <w:p>
            <w:pPr>
              <w:jc w:val="center"/>
            </w:pPr>
            <w:r>
              <w:rPr>
                <w:rFonts w:ascii="Calibri" w:hAnsi="Calibri"/>
                <w:b/>
                <w:color w:val="FFFFFF"/>
                <w:sz w:val="19"/>
              </w:rPr>
              <w:t>Alt. B: Microservicio Dedicado</w:t>
            </w:r>
          </w:p>
        </w:tc>
        <w:tc>
          <w:tcPr>
            <w:tcW w:type="dxa" w:w="2160"/>
            <w:shd w:fill="1E3A8A"/>
            <w:tcMar>
              <w:top w:w="120" w:type="dxa"/>
              <w:bottom w:w="120" w:type="dxa"/>
              <w:left w:w="120" w:type="dxa"/>
              <w:right w:w="120" w:type="dxa"/>
            </w:tcMar>
          </w:tcPr>
          <w:p>
            <w:pPr>
              <w:jc w:val="center"/>
            </w:pPr>
            <w:r>
              <w:rPr>
                <w:rFonts w:ascii="Calibri" w:hAnsi="Calibri"/>
                <w:b/>
                <w:color w:val="FFFFFF"/>
                <w:sz w:val="19"/>
              </w:rPr>
              <w:t>Alt. C: Router AMQP</w:t>
            </w:r>
          </w:p>
        </w:tc>
      </w:tr>
      <w:tr>
        <w:tc>
          <w:tcPr>
            <w:tcW w:type="dxa" w:w="2592"/>
            <w:shd w:fill="FFFFFF"/>
            <w:tcMar>
              <w:top w:w="100" w:type="dxa"/>
              <w:bottom w:w="100" w:type="dxa"/>
              <w:left w:w="120" w:type="dxa"/>
              <w:right w:w="120" w:type="dxa"/>
            </w:tcMar>
          </w:tcPr>
          <w:p>
            <w:pPr>
              <w:spacing w:before="40" w:after="40"/>
            </w:pPr>
            <w:r>
              <w:rPr>
                <w:rFonts w:ascii="Calibri" w:hAnsi="Calibri"/>
                <w:color w:val="334155"/>
                <w:sz w:val="18"/>
              </w:rPr>
              <w:t>Complejidad de Código</w:t>
            </w:r>
          </w:p>
        </w:tc>
        <w:tc>
          <w:tcPr>
            <w:tcW w:type="dxa" w:w="2304"/>
            <w:shd w:fill="FFFFFF"/>
            <w:tcMar>
              <w:top w:w="100" w:type="dxa"/>
              <w:bottom w:w="100" w:type="dxa"/>
              <w:left w:w="120" w:type="dxa"/>
              <w:right w:w="120" w:type="dxa"/>
            </w:tcMar>
          </w:tcPr>
          <w:p>
            <w:pPr>
              <w:spacing w:before="40" w:after="40"/>
            </w:pPr>
            <w:r>
              <w:rPr>
                <w:rFonts w:ascii="Calibri" w:hAnsi="Calibri"/>
                <w:color w:val="334155"/>
                <w:sz w:val="18"/>
              </w:rPr>
              <w:t>Muy Baja (~1 día)</w:t>
            </w:r>
          </w:p>
        </w:tc>
        <w:tc>
          <w:tcPr>
            <w:tcW w:type="dxa" w:w="2304"/>
            <w:shd w:fill="FFFFFF"/>
            <w:tcMar>
              <w:top w:w="100" w:type="dxa"/>
              <w:bottom w:w="100" w:type="dxa"/>
              <w:left w:w="120" w:type="dxa"/>
              <w:right w:w="120" w:type="dxa"/>
            </w:tcMar>
          </w:tcPr>
          <w:p>
            <w:pPr>
              <w:spacing w:before="40" w:after="40"/>
            </w:pPr>
            <w:r>
              <w:rPr>
                <w:rFonts w:ascii="Calibri" w:hAnsi="Calibri"/>
                <w:color w:val="334155"/>
                <w:sz w:val="18"/>
              </w:rPr>
              <w:t>Alta (~3-4 días)</w:t>
            </w:r>
          </w:p>
        </w:tc>
        <w:tc>
          <w:tcPr>
            <w:tcW w:type="dxa" w:w="2160"/>
            <w:shd w:fill="FFFFFF"/>
            <w:tcMar>
              <w:top w:w="100" w:type="dxa"/>
              <w:bottom w:w="100" w:type="dxa"/>
              <w:left w:w="120" w:type="dxa"/>
              <w:right w:w="120" w:type="dxa"/>
            </w:tcMar>
          </w:tcPr>
          <w:p>
            <w:pPr>
              <w:spacing w:before="40" w:after="40"/>
            </w:pPr>
            <w:r>
              <w:rPr>
                <w:rFonts w:ascii="Calibri" w:hAnsi="Calibri"/>
                <w:color w:val="334155"/>
                <w:sz w:val="18"/>
              </w:rPr>
              <w:t>Media (~2 días)</w:t>
            </w:r>
          </w:p>
        </w:tc>
      </w:tr>
      <w:tr>
        <w:tc>
          <w:tcPr>
            <w:tcW w:type="dxa" w:w="2592"/>
            <w:shd w:fill="F8FAFC"/>
            <w:tcMar>
              <w:top w:w="100" w:type="dxa"/>
              <w:bottom w:w="100" w:type="dxa"/>
              <w:left w:w="120" w:type="dxa"/>
              <w:right w:w="120" w:type="dxa"/>
            </w:tcMar>
          </w:tcPr>
          <w:p>
            <w:pPr>
              <w:spacing w:before="40" w:after="40"/>
            </w:pPr>
            <w:r>
              <w:rPr>
                <w:rFonts w:ascii="Calibri" w:hAnsi="Calibri"/>
                <w:color w:val="334155"/>
                <w:sz w:val="18"/>
              </w:rPr>
              <w:t>Consumo de RAM en Docker</w:t>
            </w:r>
          </w:p>
        </w:tc>
        <w:tc>
          <w:tcPr>
            <w:tcW w:type="dxa" w:w="2304"/>
            <w:shd w:fill="F8FAFC"/>
            <w:tcMar>
              <w:top w:w="100" w:type="dxa"/>
              <w:bottom w:w="100" w:type="dxa"/>
              <w:left w:w="120" w:type="dxa"/>
              <w:right w:w="120" w:type="dxa"/>
            </w:tcMar>
          </w:tcPr>
          <w:p>
            <w:pPr>
              <w:spacing w:before="40" w:after="40"/>
            </w:pPr>
            <w:r>
              <w:rPr>
                <w:rFonts w:ascii="Calibri" w:hAnsi="Calibri"/>
                <w:color w:val="334155"/>
                <w:sz w:val="18"/>
              </w:rPr>
              <w:t>0 MB adicionales</w:t>
            </w:r>
          </w:p>
        </w:tc>
        <w:tc>
          <w:tcPr>
            <w:tcW w:type="dxa" w:w="2304"/>
            <w:shd w:fill="F8FAFC"/>
            <w:tcMar>
              <w:top w:w="100" w:type="dxa"/>
              <w:bottom w:w="100" w:type="dxa"/>
              <w:left w:w="120" w:type="dxa"/>
              <w:right w:w="120" w:type="dxa"/>
            </w:tcMar>
          </w:tcPr>
          <w:p>
            <w:pPr>
              <w:spacing w:before="40" w:after="40"/>
            </w:pPr>
            <w:r>
              <w:rPr>
                <w:rFonts w:ascii="Calibri" w:hAnsi="Calibri"/>
                <w:color w:val="334155"/>
                <w:sz w:val="18"/>
              </w:rPr>
              <w:t>+250 MB RAM</w:t>
            </w:r>
          </w:p>
        </w:tc>
        <w:tc>
          <w:tcPr>
            <w:tcW w:type="dxa" w:w="2160"/>
            <w:shd w:fill="F8FAFC"/>
            <w:tcMar>
              <w:top w:w="100" w:type="dxa"/>
              <w:bottom w:w="100" w:type="dxa"/>
              <w:left w:w="120" w:type="dxa"/>
              <w:right w:w="120" w:type="dxa"/>
            </w:tcMar>
          </w:tcPr>
          <w:p>
            <w:pPr>
              <w:spacing w:before="40" w:after="40"/>
            </w:pPr>
            <w:r>
              <w:rPr>
                <w:rFonts w:ascii="Calibri" w:hAnsi="Calibri"/>
                <w:color w:val="334155"/>
                <w:sz w:val="18"/>
              </w:rPr>
              <w:t>0 MB adicionales</w:t>
            </w:r>
          </w:p>
        </w:tc>
      </w:tr>
      <w:tr>
        <w:tc>
          <w:tcPr>
            <w:tcW w:type="dxa" w:w="2592"/>
            <w:shd w:fill="FFFFFF"/>
            <w:tcMar>
              <w:top w:w="100" w:type="dxa"/>
              <w:bottom w:w="100" w:type="dxa"/>
              <w:left w:w="120" w:type="dxa"/>
              <w:right w:w="120" w:type="dxa"/>
            </w:tcMar>
          </w:tcPr>
          <w:p>
            <w:pPr>
              <w:spacing w:before="40" w:after="40"/>
            </w:pPr>
            <w:r>
              <w:rPr>
                <w:rFonts w:ascii="Calibri" w:hAnsi="Calibri"/>
                <w:color w:val="334155"/>
                <w:sz w:val="18"/>
              </w:rPr>
              <w:t>Cumplimiento de Cátedra</w:t>
            </w:r>
          </w:p>
        </w:tc>
        <w:tc>
          <w:tcPr>
            <w:tcW w:type="dxa" w:w="2304"/>
            <w:shd w:fill="FFFFFF"/>
            <w:tcMar>
              <w:top w:w="100" w:type="dxa"/>
              <w:bottom w:w="100" w:type="dxa"/>
              <w:left w:w="120" w:type="dxa"/>
              <w:right w:w="120" w:type="dxa"/>
            </w:tcMar>
          </w:tcPr>
          <w:p>
            <w:pPr>
              <w:spacing w:before="40" w:after="40"/>
            </w:pPr>
            <w:r>
              <w:rPr>
                <w:rFonts w:ascii="Calibri" w:hAnsi="Calibri"/>
                <w:color w:val="334155"/>
                <w:sz w:val="18"/>
              </w:rPr>
              <w:t>Pleno (GoF / GRASP)</w:t>
            </w:r>
          </w:p>
        </w:tc>
        <w:tc>
          <w:tcPr>
            <w:tcW w:type="dxa" w:w="2304"/>
            <w:shd w:fill="FFFFFF"/>
            <w:tcMar>
              <w:top w:w="100" w:type="dxa"/>
              <w:bottom w:w="100" w:type="dxa"/>
              <w:left w:w="120" w:type="dxa"/>
              <w:right w:w="120" w:type="dxa"/>
            </w:tcMar>
          </w:tcPr>
          <w:p>
            <w:pPr>
              <w:spacing w:before="40" w:after="40"/>
            </w:pPr>
            <w:r>
              <w:rPr>
                <w:rFonts w:ascii="Calibri" w:hAnsi="Calibri"/>
                <w:color w:val="334155"/>
                <w:sz w:val="18"/>
              </w:rPr>
              <w:t>Pleno (Foco Distribuido)</w:t>
            </w:r>
          </w:p>
        </w:tc>
        <w:tc>
          <w:tcPr>
            <w:tcW w:type="dxa" w:w="2160"/>
            <w:shd w:fill="FFFFFF"/>
            <w:tcMar>
              <w:top w:w="100" w:type="dxa"/>
              <w:bottom w:w="100" w:type="dxa"/>
              <w:left w:w="120" w:type="dxa"/>
              <w:right w:w="120" w:type="dxa"/>
            </w:tcMar>
          </w:tcPr>
          <w:p>
            <w:pPr>
              <w:spacing w:before="40" w:after="40"/>
            </w:pPr>
            <w:r>
              <w:rPr>
                <w:rFonts w:ascii="Calibri" w:hAnsi="Calibri"/>
                <w:color w:val="334155"/>
                <w:sz w:val="18"/>
              </w:rPr>
              <w:t>Pleno (Asíncrono)</w:t>
            </w:r>
          </w:p>
        </w:tc>
      </w:tr>
      <w:tr>
        <w:tc>
          <w:tcPr>
            <w:tcW w:type="dxa" w:w="2592"/>
            <w:shd w:fill="F8FAFC"/>
            <w:tcMar>
              <w:top w:w="100" w:type="dxa"/>
              <w:bottom w:w="100" w:type="dxa"/>
              <w:left w:w="120" w:type="dxa"/>
              <w:right w:w="120" w:type="dxa"/>
            </w:tcMar>
          </w:tcPr>
          <w:p>
            <w:pPr>
              <w:spacing w:before="40" w:after="40"/>
            </w:pPr>
            <w:r>
              <w:rPr>
                <w:rFonts w:ascii="Calibri" w:hAnsi="Calibri"/>
                <w:color w:val="334155"/>
                <w:sz w:val="18"/>
              </w:rPr>
              <w:t>Riesgo Operativo / Demo</w:t>
            </w:r>
          </w:p>
        </w:tc>
        <w:tc>
          <w:tcPr>
            <w:tcW w:type="dxa" w:w="2304"/>
            <w:shd w:fill="F8FAFC"/>
            <w:tcMar>
              <w:top w:w="100" w:type="dxa"/>
              <w:bottom w:w="100" w:type="dxa"/>
              <w:left w:w="120" w:type="dxa"/>
              <w:right w:w="120" w:type="dxa"/>
            </w:tcMar>
          </w:tcPr>
          <w:p>
            <w:pPr>
              <w:spacing w:before="40" w:after="40"/>
            </w:pPr>
            <w:r>
              <w:rPr>
                <w:rFonts w:ascii="Calibri" w:hAnsi="Calibri"/>
                <w:color w:val="334155"/>
                <w:sz w:val="18"/>
              </w:rPr>
              <w:t>Mínimo (testeable en memoria)</w:t>
            </w:r>
          </w:p>
        </w:tc>
        <w:tc>
          <w:tcPr>
            <w:tcW w:type="dxa" w:w="2304"/>
            <w:shd w:fill="F8FAFC"/>
            <w:tcMar>
              <w:top w:w="100" w:type="dxa"/>
              <w:bottom w:w="100" w:type="dxa"/>
              <w:left w:w="120" w:type="dxa"/>
              <w:right w:w="120" w:type="dxa"/>
            </w:tcMar>
          </w:tcPr>
          <w:p>
            <w:pPr>
              <w:spacing w:before="40" w:after="40"/>
            </w:pPr>
            <w:r>
              <w:rPr>
                <w:rFonts w:ascii="Calibri" w:hAnsi="Calibri"/>
                <w:color w:val="334155"/>
                <w:sz w:val="18"/>
              </w:rPr>
              <w:t>Alto (depende de 5 servicios vivos)</w:t>
            </w:r>
          </w:p>
        </w:tc>
        <w:tc>
          <w:tcPr>
            <w:tcW w:type="dxa" w:w="2160"/>
            <w:shd w:fill="F8FAFC"/>
            <w:tcMar>
              <w:top w:w="100" w:type="dxa"/>
              <w:bottom w:w="100" w:type="dxa"/>
              <w:left w:w="120" w:type="dxa"/>
              <w:right w:w="120" w:type="dxa"/>
            </w:tcMar>
          </w:tcPr>
          <w:p>
            <w:pPr>
              <w:spacing w:before="40" w:after="40"/>
            </w:pPr>
            <w:r>
              <w:rPr>
                <w:rFonts w:ascii="Calibri" w:hAnsi="Calibri"/>
                <w:color w:val="334155"/>
                <w:sz w:val="18"/>
              </w:rPr>
              <w:t>Medio (depende de RabbitMQ)</w:t>
            </w:r>
          </w:p>
        </w:tc>
      </w:tr>
    </w:tbl>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left w:val="single" w:sz="24" w:space="0" w:color="2563EB"/>
              <w:top w:val="none"/>
              <w:bottom w:val="none"/>
              <w:right w:val="none"/>
            </w:tcBorders>
          </w:tcPr>
          <w:p>
            <w:pPr>
              <w:spacing w:before="40" w:after="40"/>
            </w:pPr>
            <w:r>
              <w:rPr>
                <w:rFonts w:ascii="Calibri" w:hAnsi="Calibri"/>
                <w:b/>
                <w:color w:val="1D4ED8"/>
                <w:sz w:val="20"/>
              </w:rPr>
              <w:t xml:space="preserve">[RECOMENDACIÓN TÉCNICA] </w:t>
            </w:r>
            <w:r>
              <w:rPr>
                <w:rFonts w:ascii="Calibri" w:hAnsi="Calibri"/>
                <w:color w:val="1E293B"/>
                <w:sz w:val="20"/>
              </w:rPr>
              <w:t>Recomendación para la reunión: La Alternativa A (Broker In-Process con Strategy + Adapter) cumple 100% con la consigna académica, luce sólida ante los docentes demostrando patrones de diseño GoF y evita los riesgos de inestabilidad de un quinto contenedor en Docker Compose.</w:t>
            </w:r>
          </w:p>
        </w:tc>
      </w:tr>
    </w:tbl>
    <w:p>
      <w:pPr>
        <w:spacing w:after="80"/>
      </w:pPr>
    </w:p>
    <w:p>
      <w:pPr>
        <w:pStyle w:val="Heading1"/>
        <w:keepNext/>
        <w:spacing w:before="360" w:after="120"/>
      </w:pPr>
      <w:r>
        <w:rPr>
          <w:rFonts w:ascii="Calibri" w:hAnsi="Calibri"/>
          <w:b/>
          <w:color w:val="1E3A8A"/>
          <w:sz w:val="36"/>
        </w:rPr>
        <w:t>3. Frente 2: Despliegue en la Nube de Logística (AWS &amp; Costos)</w:t>
      </w:r>
    </w:p>
    <w:p>
      <w:r>
        <w:rPr>
          <w:rFonts w:ascii="Calibri" w:hAnsi="Calibri"/>
          <w:sz w:val="20"/>
        </w:rPr>
        <w:t>Requerimiento de Cátedra: «El servicio de logística deberá ser desplegado para ser accesible vía web a través de sus URIs. El despliegue puede encontrarse pausado para reducir consumos hasta que sea presentado en la defensa.»</w:t>
        <w:br/>
        <w:br/>
        <w:t>Aspectos clave del servicio actual:</w:t>
        <w:br/>
        <w:t>1. Ya cuenta con Dockerfile multi-stage de producción (Temurin 21 JRE).</w:t>
        <w:br/>
        <w:t>2. Su persistencia opera en memoria (CrudRepositoryEnMemoria), por lo que NO requiere una base de datos PostgreSQL en la nube.</w:t>
        <w:br/>
        <w:t>3. Conectividad a RabbitMQ: Se puede enlazar a una instancia gratuita de CloudAMQP (RabbitMQ as a Service) o deshabilitar los listeners AMQP en el perfil cloud si solo se evalúan endpoints REST y Swagger.</w:t>
      </w:r>
    </w:p>
    <w:p>
      <w:pPr>
        <w:pStyle w:val="Heading2"/>
        <w:keepNext/>
        <w:spacing w:before="280" w:after="80"/>
      </w:pPr>
      <w:r>
        <w:rPr>
          <w:rFonts w:ascii="Calibri" w:hAnsi="Calibri"/>
          <w:b/>
          <w:color w:val="2563EB"/>
          <w:sz w:val="28"/>
        </w:rPr>
        <w:t>Opciones en AWS, Análisis de Pausabilidad y Estimación de Costos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872"/>
        <w:gridCol w:w="1872"/>
        <w:gridCol w:w="1872"/>
        <w:gridCol w:w="1872"/>
        <w:gridCol w:w="1872"/>
      </w:tblGrid>
      <w:tr>
        <w:tc>
          <w:tcPr>
            <w:tcW w:type="dxa" w:w="2304"/>
            <w:shd w:fill="1E3A8A"/>
            <w:tcMar>
              <w:top w:w="120" w:type="dxa"/>
              <w:bottom w:w="120" w:type="dxa"/>
              <w:left w:w="120" w:type="dxa"/>
              <w:right w:w="120" w:type="dxa"/>
            </w:tcMar>
          </w:tcPr>
          <w:p>
            <w:pPr>
              <w:jc w:val="center"/>
            </w:pPr>
            <w:r>
              <w:rPr>
                <w:rFonts w:ascii="Calibri" w:hAnsi="Calibri"/>
                <w:b/>
                <w:color w:val="FFFFFF"/>
                <w:sz w:val="19"/>
              </w:rPr>
              <w:t>Servicio AWS / Opción</w:t>
            </w:r>
          </w:p>
        </w:tc>
        <w:tc>
          <w:tcPr>
            <w:tcW w:type="dxa" w:w="2016"/>
            <w:shd w:fill="1E3A8A"/>
            <w:tcMar>
              <w:top w:w="120" w:type="dxa"/>
              <w:bottom w:w="120" w:type="dxa"/>
              <w:left w:w="120" w:type="dxa"/>
              <w:right w:w="120" w:type="dxa"/>
            </w:tcMar>
          </w:tcPr>
          <w:p>
            <w:pPr>
              <w:jc w:val="center"/>
            </w:pPr>
            <w:r>
              <w:rPr>
                <w:rFonts w:ascii="Calibri" w:hAnsi="Calibri"/>
                <w:b/>
                <w:color w:val="FFFFFF"/>
                <w:sz w:val="19"/>
              </w:rPr>
              <w:t>Mecanismo de Pausa</w:t>
            </w:r>
          </w:p>
        </w:tc>
        <w:tc>
          <w:tcPr>
            <w:tcW w:type="dxa" w:w="1728"/>
            <w:shd w:fill="1E3A8A"/>
            <w:tcMar>
              <w:top w:w="120" w:type="dxa"/>
              <w:bottom w:w="120" w:type="dxa"/>
              <w:left w:w="120" w:type="dxa"/>
              <w:right w:w="120" w:type="dxa"/>
            </w:tcMar>
          </w:tcPr>
          <w:p>
            <w:pPr>
              <w:jc w:val="center"/>
            </w:pPr>
            <w:r>
              <w:rPr>
                <w:rFonts w:ascii="Calibri" w:hAnsi="Calibri"/>
                <w:b/>
                <w:color w:val="FFFFFF"/>
                <w:sz w:val="19"/>
              </w:rPr>
              <w:t>Costo en Reposo (Pausado)</w:t>
            </w:r>
          </w:p>
        </w:tc>
        <w:tc>
          <w:tcPr>
            <w:tcW w:type="dxa" w:w="1728"/>
            <w:shd w:fill="1E3A8A"/>
            <w:tcMar>
              <w:top w:w="120" w:type="dxa"/>
              <w:bottom w:w="120" w:type="dxa"/>
              <w:left w:w="120" w:type="dxa"/>
              <w:right w:w="120" w:type="dxa"/>
            </w:tcMar>
          </w:tcPr>
          <w:p>
            <w:pPr>
              <w:jc w:val="center"/>
            </w:pPr>
            <w:r>
              <w:rPr>
                <w:rFonts w:ascii="Calibri" w:hAnsi="Calibri"/>
                <w:b/>
                <w:color w:val="FFFFFF"/>
                <w:sz w:val="19"/>
              </w:rPr>
              <w:t>Costo en Operación (Demo)</w:t>
            </w:r>
          </w:p>
        </w:tc>
        <w:tc>
          <w:tcPr>
            <w:tcW w:type="dxa" w:w="1584"/>
            <w:shd w:fill="1E3A8A"/>
            <w:tcMar>
              <w:top w:w="120" w:type="dxa"/>
              <w:bottom w:w="120" w:type="dxa"/>
              <w:left w:w="120" w:type="dxa"/>
              <w:right w:w="120" w:type="dxa"/>
            </w:tcMar>
          </w:tcPr>
          <w:p>
            <w:pPr>
              <w:jc w:val="center"/>
            </w:pPr>
            <w:r>
              <w:rPr>
                <w:rFonts w:ascii="Calibri" w:hAnsi="Calibri"/>
                <w:b/>
                <w:color w:val="FFFFFF"/>
                <w:sz w:val="19"/>
              </w:rPr>
              <w:t>Facilidad de Setup</w:t>
            </w:r>
          </w:p>
        </w:tc>
      </w:tr>
      <w:tr>
        <w:tc>
          <w:tcPr>
            <w:tcW w:type="dxa" w:w="2304"/>
            <w:shd w:fill="FFFFFF"/>
            <w:tcMar>
              <w:top w:w="100" w:type="dxa"/>
              <w:bottom w:w="100" w:type="dxa"/>
              <w:left w:w="120" w:type="dxa"/>
              <w:right w:w="120" w:type="dxa"/>
            </w:tcMar>
          </w:tcPr>
          <w:p>
            <w:pPr>
              <w:spacing w:before="40" w:after="40"/>
            </w:pPr>
            <w:r>
              <w:rPr>
                <w:rFonts w:ascii="Calibri" w:hAnsi="Calibri"/>
                <w:color w:val="334155"/>
                <w:sz w:val="18"/>
              </w:rPr>
              <w:t>AWS App Runner</w:t>
              <w:br/>
              <w:t>(Recomendado AWS)</w:t>
            </w:r>
          </w:p>
        </w:tc>
        <w:tc>
          <w:tcPr>
            <w:tcW w:type="dxa" w:w="2016"/>
            <w:shd w:fill="FFFFFF"/>
            <w:tcMar>
              <w:top w:w="100" w:type="dxa"/>
              <w:bottom w:w="100" w:type="dxa"/>
              <w:left w:w="120" w:type="dxa"/>
              <w:right w:w="120" w:type="dxa"/>
            </w:tcMar>
          </w:tcPr>
          <w:p>
            <w:pPr>
              <w:spacing w:before="40" w:after="40"/>
            </w:pPr>
            <w:r>
              <w:rPr>
                <w:rFonts w:ascii="Calibri" w:hAnsi="Calibri"/>
                <w:color w:val="334155"/>
                <w:sz w:val="18"/>
              </w:rPr>
              <w:t>Botón nativo 'Pause Service' en consola o CLI: aws apprunner pause-service</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$0.00 USD / mes</w:t>
              <w:br/>
              <w:t>(Cero cómputo y cero memoria en pausa)</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~$0.007 / GB-hora</w:t>
              <w:br/>
              <w:t>(&lt; $0.05 USD por 2 horas de defensa)</w:t>
            </w:r>
          </w:p>
        </w:tc>
        <w:tc>
          <w:tcPr>
            <w:tcW w:type="dxa" w:w="1584"/>
            <w:shd w:fill="FFFFFF"/>
            <w:tcMar>
              <w:top w:w="100" w:type="dxa"/>
              <w:bottom w:w="100" w:type="dxa"/>
              <w:left w:w="120" w:type="dxa"/>
              <w:right w:w="120" w:type="dxa"/>
            </w:tcMar>
          </w:tcPr>
          <w:p>
            <w:pPr>
              <w:spacing w:before="40" w:after="40"/>
            </w:pPr>
            <w:r>
              <w:rPr>
                <w:rFonts w:ascii="Calibri" w:hAnsi="Calibri"/>
                <w:color w:val="334155"/>
                <w:sz w:val="18"/>
              </w:rPr>
              <w:t>Alta</w:t>
              <w:br/>
              <w:t>(URL HTTPS automática, sin VPC ni Load Balancers)</w:t>
            </w:r>
          </w:p>
        </w:tc>
      </w:tr>
      <w:tr>
        <w:tc>
          <w:tcPr>
            <w:tcW w:type="dxa" w:w="2304"/>
            <w:shd w:fill="F8FAFC"/>
            <w:tcMar>
              <w:top w:w="100" w:type="dxa"/>
              <w:bottom w:w="100" w:type="dxa"/>
              <w:left w:w="120" w:type="dxa"/>
              <w:right w:w="120" w:type="dxa"/>
            </w:tcMar>
          </w:tcPr>
          <w:p>
            <w:pPr>
              <w:spacing w:before="40" w:after="40"/>
            </w:pPr>
            <w:r>
              <w:rPr>
                <w:rFonts w:ascii="Calibri" w:hAnsi="Calibri"/>
                <w:color w:val="334155"/>
                <w:sz w:val="18"/>
              </w:rPr>
              <w:t>Amazon EC2</w:t>
              <w:br/>
              <w:t>(t4g.nano / t3.micro)</w:t>
            </w:r>
          </w:p>
        </w:tc>
        <w:tc>
          <w:tcPr>
            <w:tcW w:type="dxa" w:w="2016"/>
            <w:shd w:fill="F8FAFC"/>
            <w:tcMar>
              <w:top w:w="100" w:type="dxa"/>
              <w:bottom w:w="100" w:type="dxa"/>
              <w:left w:w="120" w:type="dxa"/>
              <w:right w:w="120" w:type="dxa"/>
            </w:tcMar>
          </w:tcPr>
          <w:p>
            <w:pPr>
              <w:spacing w:before="40" w:after="40"/>
            </w:pPr>
            <w:r>
              <w:rPr>
                <w:rFonts w:ascii="Calibri" w:hAnsi="Calibri"/>
                <w:color w:val="334155"/>
                <w:sz w:val="18"/>
              </w:rPr>
              <w:t>'Stop Instance' desde la consola o CLI: aws ec2 stop-instances</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~$0.60 USD / mes</w:t>
              <w:br/>
              <w:t>(Solo se paga el volumen de disco EBS 8 GB)</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Free Tier: $0.00</w:t>
              <w:br/>
              <w:t>Sin Free Tier: $0.0042 / hora (~$0.02 en demo)</w:t>
            </w:r>
          </w:p>
        </w:tc>
        <w:tc>
          <w:tcPr>
            <w:tcW w:type="dxa" w:w="1584"/>
            <w:shd w:fill="F8FAFC"/>
            <w:tcMar>
              <w:top w:w="100" w:type="dxa"/>
              <w:bottom w:w="100" w:type="dxa"/>
              <w:left w:w="120" w:type="dxa"/>
              <w:right w:w="120" w:type="dxa"/>
            </w:tcMar>
          </w:tcPr>
          <w:p>
            <w:pPr>
              <w:spacing w:before="40" w:after="40"/>
            </w:pPr>
            <w:r>
              <w:rPr>
                <w:rFonts w:ascii="Calibri" w:hAnsi="Calibri"/>
                <w:color w:val="334155"/>
                <w:sz w:val="18"/>
              </w:rPr>
              <w:t>Media</w:t>
              <w:br/>
              <w:t>(Máquina Linux virtual, requiere instalar Docker)</w:t>
            </w:r>
          </w:p>
        </w:tc>
      </w:tr>
      <w:tr>
        <w:tc>
          <w:tcPr>
            <w:tcW w:type="dxa" w:w="2304"/>
            <w:shd w:fill="FFFFFF"/>
            <w:tcMar>
              <w:top w:w="100" w:type="dxa"/>
              <w:bottom w:w="100" w:type="dxa"/>
              <w:left w:w="120" w:type="dxa"/>
              <w:right w:w="120" w:type="dxa"/>
            </w:tcMar>
          </w:tcPr>
          <w:p>
            <w:pPr>
              <w:spacing w:before="40" w:after="40"/>
            </w:pPr>
            <w:r>
              <w:rPr>
                <w:rFonts w:ascii="Calibri" w:hAnsi="Calibri"/>
                <w:color w:val="334155"/>
                <w:sz w:val="18"/>
              </w:rPr>
              <w:t>Amazon ECS + Fargate</w:t>
              <w:br/>
              <w:t>(Container Enterprise)</w:t>
            </w:r>
          </w:p>
        </w:tc>
        <w:tc>
          <w:tcPr>
            <w:tcW w:type="dxa" w:w="2016"/>
            <w:shd w:fill="FFFFFF"/>
            <w:tcMar>
              <w:top w:w="100" w:type="dxa"/>
              <w:bottom w:w="100" w:type="dxa"/>
              <w:left w:w="120" w:type="dxa"/>
              <w:right w:w="120" w:type="dxa"/>
            </w:tcMar>
          </w:tcPr>
          <w:p>
            <w:pPr>
              <w:spacing w:before="40" w:after="40"/>
            </w:pPr>
            <w:r>
              <w:rPr>
                <w:rFonts w:ascii="Calibri" w:hAnsi="Calibri"/>
                <w:color w:val="334155"/>
                <w:sz w:val="18"/>
              </w:rPr>
              <w:t>Fijar Desired Tasks = 0 en la configuración del servicio</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~$16.20 USD / mes</w:t>
              <w:br/>
              <w:t>(El Application Load Balancer sigue cobrando)</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Fargate Task: ~$0.04 / hora + costo fijo del ALB</w:t>
            </w:r>
          </w:p>
        </w:tc>
        <w:tc>
          <w:tcPr>
            <w:tcW w:type="dxa" w:w="1584"/>
            <w:shd w:fill="FFFFFF"/>
            <w:tcMar>
              <w:top w:w="100" w:type="dxa"/>
              <w:bottom w:w="100" w:type="dxa"/>
              <w:left w:w="120" w:type="dxa"/>
              <w:right w:w="120" w:type="dxa"/>
            </w:tcMar>
          </w:tcPr>
          <w:p>
            <w:pPr>
              <w:spacing w:before="40" w:after="40"/>
            </w:pPr>
            <w:r>
              <w:rPr>
                <w:rFonts w:ascii="Calibri" w:hAnsi="Calibri"/>
                <w:color w:val="334155"/>
                <w:sz w:val="18"/>
              </w:rPr>
              <w:t>Baja / Compleja</w:t>
              <w:br/>
              <w:t>(Requiere VPC, Subnets, ALB, Target Groups)</w:t>
            </w:r>
          </w:p>
        </w:tc>
      </w:tr>
      <w:tr>
        <w:tc>
          <w:tcPr>
            <w:tcW w:type="dxa" w:w="2304"/>
            <w:shd w:fill="F8FAFC"/>
            <w:tcMar>
              <w:top w:w="100" w:type="dxa"/>
              <w:bottom w:w="100" w:type="dxa"/>
              <w:left w:w="120" w:type="dxa"/>
              <w:right w:w="120" w:type="dxa"/>
            </w:tcMar>
          </w:tcPr>
          <w:p>
            <w:pPr>
              <w:spacing w:before="40" w:after="40"/>
            </w:pPr>
            <w:r>
              <w:rPr>
                <w:rFonts w:ascii="Calibri" w:hAnsi="Calibri"/>
                <w:color w:val="334155"/>
                <w:sz w:val="18"/>
              </w:rPr>
              <w:t>AWS Lambda con Web Adapter</w:t>
            </w:r>
          </w:p>
        </w:tc>
        <w:tc>
          <w:tcPr>
            <w:tcW w:type="dxa" w:w="2016"/>
            <w:shd w:fill="F8FAFC"/>
            <w:tcMar>
              <w:top w:w="100" w:type="dxa"/>
              <w:bottom w:w="100" w:type="dxa"/>
              <w:left w:w="120" w:type="dxa"/>
              <w:right w:w="120" w:type="dxa"/>
            </w:tcMar>
          </w:tcPr>
          <w:p>
            <w:pPr>
              <w:spacing w:before="40" w:after="40"/>
            </w:pPr>
            <w:r>
              <w:rPr>
                <w:rFonts w:ascii="Calibri" w:hAnsi="Calibri"/>
                <w:color w:val="334155"/>
                <w:sz w:val="18"/>
              </w:rPr>
              <w:t>Automática (Scale-to-Zero al no recibir peticiones)</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$0.00 USD / mes</w:t>
              <w:br/>
              <w:t>(100% cubierto por Free Tier perpetuo)</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$0.00 USD</w:t>
              <w:br/>
              <w:t>(Menos de 1 millón de invocaciones)</w:t>
            </w:r>
          </w:p>
        </w:tc>
        <w:tc>
          <w:tcPr>
            <w:tcW w:type="dxa" w:w="1584"/>
            <w:shd w:fill="F8FAFC"/>
            <w:tcMar>
              <w:top w:w="100" w:type="dxa"/>
              <w:bottom w:w="100" w:type="dxa"/>
              <w:left w:w="120" w:type="dxa"/>
              <w:right w:w="120" w:type="dxa"/>
            </w:tcMar>
          </w:tcPr>
          <w:p>
            <w:pPr>
              <w:spacing w:before="40" w:after="40"/>
            </w:pPr>
            <w:r>
              <w:rPr>
                <w:rFonts w:ascii="Calibri" w:hAnsi="Calibri"/>
                <w:color w:val="334155"/>
                <w:sz w:val="18"/>
              </w:rPr>
              <w:t>Baja</w:t>
              <w:br/>
              <w:t>(Sufre de Cold Starts de 6-12 seg con Spring Boot)</w:t>
            </w:r>
          </w:p>
        </w:tc>
      </w:tr>
      <w:tr>
        <w:tc>
          <w:tcPr>
            <w:tcW w:type="dxa" w:w="2304"/>
            <w:shd w:fill="FFFFFF"/>
            <w:tcMar>
              <w:top w:w="100" w:type="dxa"/>
              <w:bottom w:w="100" w:type="dxa"/>
              <w:left w:w="120" w:type="dxa"/>
              <w:right w:w="120" w:type="dxa"/>
            </w:tcMar>
          </w:tcPr>
          <w:p>
            <w:pPr>
              <w:spacing w:before="40" w:after="40"/>
            </w:pPr>
            <w:r>
              <w:rPr>
                <w:rFonts w:ascii="Calibri" w:hAnsi="Calibri"/>
                <w:color w:val="334155"/>
                <w:sz w:val="18"/>
              </w:rPr>
              <w:t>Render.com (PaaS)</w:t>
              <w:br/>
              <w:t>(Alternativa Contingencia)</w:t>
            </w:r>
          </w:p>
        </w:tc>
        <w:tc>
          <w:tcPr>
            <w:tcW w:type="dxa" w:w="2016"/>
            <w:shd w:fill="FFFFFF"/>
            <w:tcMar>
              <w:top w:w="100" w:type="dxa"/>
              <w:bottom w:w="100" w:type="dxa"/>
              <w:left w:w="120" w:type="dxa"/>
              <w:right w:w="120" w:type="dxa"/>
            </w:tcMar>
          </w:tcPr>
          <w:p>
            <w:pPr>
              <w:spacing w:before="40" w:after="40"/>
            </w:pPr>
            <w:r>
              <w:rPr>
                <w:rFonts w:ascii="Calibri" w:hAnsi="Calibri"/>
                <w:color w:val="334155"/>
                <w:sz w:val="18"/>
              </w:rPr>
              <w:t>Suspensión automática por inactividad tras 15 minutos o botón manual</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$0.00 USD / mes</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$0.00 USD</w:t>
            </w:r>
          </w:p>
        </w:tc>
        <w:tc>
          <w:tcPr>
            <w:tcW w:type="dxa" w:w="1584"/>
            <w:shd w:fill="FFFFFF"/>
            <w:tcMar>
              <w:top w:w="100" w:type="dxa"/>
              <w:bottom w:w="100" w:type="dxa"/>
              <w:left w:w="120" w:type="dxa"/>
              <w:right w:w="120" w:type="dxa"/>
            </w:tcMar>
          </w:tcPr>
          <w:p>
            <w:pPr>
              <w:spacing w:before="40" w:after="40"/>
            </w:pPr>
            <w:r>
              <w:rPr>
                <w:rFonts w:ascii="Calibri" w:hAnsi="Calibri"/>
                <w:color w:val="334155"/>
                <w:sz w:val="18"/>
              </w:rPr>
              <w:t>Inmediata</w:t>
              <w:br/>
              <w:t>(Conexión directa a GitHub, 10 min de setup)</w:t>
            </w:r>
          </w:p>
        </w:tc>
      </w:tr>
    </w:tbl>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left w:val="single" w:sz="24" w:space="0" w:color="2563EB"/>
              <w:top w:val="none"/>
              <w:bottom w:val="none"/>
              <w:right w:val="none"/>
            </w:tcBorders>
          </w:tcPr>
          <w:p>
            <w:pPr>
              <w:spacing w:before="40" w:after="40"/>
            </w:pPr>
            <w:r>
              <w:rPr>
                <w:rFonts w:ascii="Calibri" w:hAnsi="Calibri"/>
                <w:b/>
                <w:color w:val="1D4ED8"/>
                <w:sz w:val="20"/>
              </w:rPr>
              <w:t xml:space="preserve">[CONCLUSIÓN CLOUD] </w:t>
            </w:r>
            <w:r>
              <w:rPr>
                <w:rFonts w:ascii="Calibri" w:hAnsi="Calibri"/>
                <w:color w:val="1E293B"/>
                <w:sz w:val="20"/>
              </w:rPr>
              <w:t>Veredicto para AWS: Si el objetivo es aprender AWS profesionalmente, AWS App Runner es la opción más limpia, moderna y económica: ofrece URL HTTPS automática lista para entregar a la cátedra y su función 'Pause' reduce el costo a exactamente $0.00 mientras no se utiliza. Render queda como Plan B de respaldo inmediato sin configuración de tarjetas ni IAM.</w:t>
            </w:r>
          </w:p>
        </w:tc>
      </w:tr>
    </w:tbl>
    <w:p>
      <w:pPr>
        <w:spacing w:after="80"/>
      </w:pPr>
    </w:p>
    <w:p>
      <w:pPr>
        <w:pStyle w:val="Heading1"/>
        <w:keepNext/>
        <w:spacing w:before="360" w:after="120"/>
      </w:pPr>
      <w:r>
        <w:rPr>
          <w:rFonts w:ascii="Calibri" w:hAnsi="Calibri"/>
          <w:b/>
          <w:color w:val="1E3A8A"/>
          <w:sz w:val="36"/>
        </w:rPr>
        <w:t>4. Frente 3: Persistencia y Modelo de Datos (DER Físico)</w:t>
      </w:r>
    </w:p>
    <w:p>
      <w:r>
        <w:rPr>
          <w:rFonts w:ascii="Calibri" w:hAnsi="Calibri"/>
          <w:sz w:val="20"/>
        </w:rPr>
        <w:t>Clarificación sobre el alcance: Para la Entrega 4, la cátedra exige el «Modelo de datos: Diagrama de entidad-relación físico por cada Servicio». Esto NO implica migrar todo el código de Donaciones, Logística e Incentivos a Spring Data JPA ni conectar bases de datos reales en código en esta fase. El foco evaluativo es el diseño relacional formal.</w:t>
        <w:br/>
        <w:br/>
        <w:t>Análisis de Herramientas: Lucidchart vs. Herramientas Versionables en Git con IA:</w:t>
        <w:br/>
        <w:t>Actualmente el equipo utiliza Lucidchart (que exporta a SQL) para tener diagramas de alta calidad visual. Sin embargo, dado que el diseño se asiste fuertemente con herramientas de Inteligencia Artificial, las herramientas basadas en texto plano versionable en Git (Text-as-Code) ofrecen ventajas insuperables de velocidad y colaboración.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872"/>
        <w:gridCol w:w="1872"/>
        <w:gridCol w:w="1872"/>
        <w:gridCol w:w="1872"/>
        <w:gridCol w:w="1872"/>
      </w:tblGrid>
      <w:tr>
        <w:tc>
          <w:tcPr>
            <w:tcW w:type="dxa" w:w="2160"/>
            <w:shd w:fill="1E3A8A"/>
            <w:tcMar>
              <w:top w:w="120" w:type="dxa"/>
              <w:bottom w:w="120" w:type="dxa"/>
              <w:left w:w="120" w:type="dxa"/>
              <w:right w:w="120" w:type="dxa"/>
            </w:tcMar>
          </w:tcPr>
          <w:p>
            <w:pPr>
              <w:jc w:val="center"/>
            </w:pPr>
            <w:r>
              <w:rPr>
                <w:rFonts w:ascii="Calibri" w:hAnsi="Calibri"/>
                <w:b/>
                <w:color w:val="FFFFFF"/>
                <w:sz w:val="19"/>
              </w:rPr>
              <w:t>Herramienta / Formato</w:t>
            </w:r>
          </w:p>
        </w:tc>
        <w:tc>
          <w:tcPr>
            <w:tcW w:type="dxa" w:w="2016"/>
            <w:shd w:fill="1E3A8A"/>
            <w:tcMar>
              <w:top w:w="120" w:type="dxa"/>
              <w:bottom w:w="120" w:type="dxa"/>
              <w:left w:w="120" w:type="dxa"/>
              <w:right w:w="120" w:type="dxa"/>
            </w:tcMar>
          </w:tcPr>
          <w:p>
            <w:pPr>
              <w:jc w:val="center"/>
            </w:pPr>
            <w:r>
              <w:rPr>
                <w:rFonts w:ascii="Calibri" w:hAnsi="Calibri"/>
                <w:b/>
                <w:color w:val="FFFFFF"/>
                <w:sz w:val="19"/>
              </w:rPr>
              <w:t>Versionado en Git (Diffs)</w:t>
            </w:r>
          </w:p>
        </w:tc>
        <w:tc>
          <w:tcPr>
            <w:tcW w:type="dxa" w:w="1872"/>
            <w:shd w:fill="1E3A8A"/>
            <w:tcMar>
              <w:top w:w="120" w:type="dxa"/>
              <w:bottom w:w="120" w:type="dxa"/>
              <w:left w:w="120" w:type="dxa"/>
              <w:right w:w="120" w:type="dxa"/>
            </w:tcMar>
          </w:tcPr>
          <w:p>
            <w:pPr>
              <w:jc w:val="center"/>
            </w:pPr>
            <w:r>
              <w:rPr>
                <w:rFonts w:ascii="Calibri" w:hAnsi="Calibri"/>
                <w:b/>
                <w:color w:val="FFFFFF"/>
                <w:sz w:val="19"/>
              </w:rPr>
              <w:t>Compatibilidad con IA</w:t>
            </w:r>
          </w:p>
        </w:tc>
        <w:tc>
          <w:tcPr>
            <w:tcW w:type="dxa" w:w="1584"/>
            <w:shd w:fill="1E3A8A"/>
            <w:tcMar>
              <w:top w:w="120" w:type="dxa"/>
              <w:bottom w:w="120" w:type="dxa"/>
              <w:left w:w="120" w:type="dxa"/>
              <w:right w:w="120" w:type="dxa"/>
            </w:tcMar>
          </w:tcPr>
          <w:p>
            <w:pPr>
              <w:jc w:val="center"/>
            </w:pPr>
            <w:r>
              <w:rPr>
                <w:rFonts w:ascii="Calibri" w:hAnsi="Calibri"/>
                <w:b/>
                <w:color w:val="FFFFFF"/>
                <w:sz w:val="19"/>
              </w:rPr>
              <w:t>Calidad Gráfica</w:t>
            </w:r>
          </w:p>
        </w:tc>
        <w:tc>
          <w:tcPr>
            <w:tcW w:type="dxa" w:w="1728"/>
            <w:shd w:fill="1E3A8A"/>
            <w:tcMar>
              <w:top w:w="120" w:type="dxa"/>
              <w:bottom w:w="120" w:type="dxa"/>
              <w:left w:w="120" w:type="dxa"/>
              <w:right w:w="120" w:type="dxa"/>
            </w:tcMar>
          </w:tcPr>
          <w:p>
            <w:pPr>
              <w:jc w:val="center"/>
            </w:pPr>
            <w:r>
              <w:rPr>
                <w:rFonts w:ascii="Calibri" w:hAnsi="Calibri"/>
                <w:b/>
                <w:color w:val="FFFFFF"/>
                <w:sz w:val="19"/>
              </w:rPr>
              <w:t>Esfuerzo de Mantenimiento</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PlantUML (.puml en Git)</w:t>
            </w:r>
          </w:p>
        </w:tc>
        <w:tc>
          <w:tcPr>
            <w:tcW w:type="dxa" w:w="2016"/>
            <w:shd w:fill="FFFFFF"/>
            <w:tcMar>
              <w:top w:w="100" w:type="dxa"/>
              <w:bottom w:w="100" w:type="dxa"/>
              <w:left w:w="120" w:type="dxa"/>
              <w:right w:w="120" w:type="dxa"/>
            </w:tcMar>
          </w:tcPr>
          <w:p>
            <w:pPr>
              <w:spacing w:before="40" w:after="40"/>
            </w:pPr>
            <w:r>
              <w:rPr>
                <w:rFonts w:ascii="Calibri" w:hAnsi="Calibri"/>
                <w:color w:val="334155"/>
                <w:sz w:val="18"/>
              </w:rPr>
              <w:t>Nativo (Texto plano diff-friendly)</w:t>
            </w:r>
          </w:p>
        </w:tc>
        <w:tc>
          <w:tcPr>
            <w:tcW w:type="dxa" w:w="1872"/>
            <w:shd w:fill="FFFFFF"/>
            <w:tcMar>
              <w:top w:w="100" w:type="dxa"/>
              <w:bottom w:w="100" w:type="dxa"/>
              <w:left w:w="120" w:type="dxa"/>
              <w:right w:w="120" w:type="dxa"/>
            </w:tcMar>
          </w:tcPr>
          <w:p>
            <w:pPr>
              <w:spacing w:before="40" w:after="40"/>
            </w:pPr>
            <w:r>
              <w:rPr>
                <w:rFonts w:ascii="Calibri" w:hAnsi="Calibri"/>
                <w:color w:val="334155"/>
                <w:sz w:val="18"/>
              </w:rPr>
              <w:t>Óptima (La IA genera y edita PUML)</w:t>
            </w:r>
          </w:p>
        </w:tc>
        <w:tc>
          <w:tcPr>
            <w:tcW w:type="dxa" w:w="1584"/>
            <w:shd w:fill="FFFFFF"/>
            <w:tcMar>
              <w:top w:w="100" w:type="dxa"/>
              <w:bottom w:w="100" w:type="dxa"/>
              <w:left w:w="120" w:type="dxa"/>
              <w:right w:w="120" w:type="dxa"/>
            </w:tcMar>
          </w:tcPr>
          <w:p>
            <w:pPr>
              <w:spacing w:before="40" w:after="40"/>
            </w:pPr>
            <w:r>
              <w:rPr>
                <w:rFonts w:ascii="Calibri" w:hAnsi="Calibri"/>
                <w:color w:val="334155"/>
                <w:sz w:val="18"/>
              </w:rPr>
              <w:t>Muy buena (Estilo donatrack-style)</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Bajo (Cambios directos en código)</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DBML (dbdiagram.io)</w:t>
            </w:r>
          </w:p>
        </w:tc>
        <w:tc>
          <w:tcPr>
            <w:tcW w:type="dxa" w:w="2016"/>
            <w:shd w:fill="F8FAFC"/>
            <w:tcMar>
              <w:top w:w="100" w:type="dxa"/>
              <w:bottom w:w="100" w:type="dxa"/>
              <w:left w:w="120" w:type="dxa"/>
              <w:right w:w="120" w:type="dxa"/>
            </w:tcMar>
          </w:tcPr>
          <w:p>
            <w:pPr>
              <w:spacing w:before="40" w:after="40"/>
            </w:pPr>
            <w:r>
              <w:rPr>
                <w:rFonts w:ascii="Calibri" w:hAnsi="Calibri"/>
                <w:color w:val="334155"/>
                <w:sz w:val="18"/>
              </w:rPr>
              <w:t>Nativo (Texto plano .dbml)</w:t>
            </w:r>
          </w:p>
        </w:tc>
        <w:tc>
          <w:tcPr>
            <w:tcW w:type="dxa" w:w="1872"/>
            <w:shd w:fill="F8FAFC"/>
            <w:tcMar>
              <w:top w:w="100" w:type="dxa"/>
              <w:bottom w:w="100" w:type="dxa"/>
              <w:left w:w="120" w:type="dxa"/>
              <w:right w:w="120" w:type="dxa"/>
            </w:tcMar>
          </w:tcPr>
          <w:p>
            <w:pPr>
              <w:spacing w:before="40" w:after="40"/>
            </w:pPr>
            <w:r>
              <w:rPr>
                <w:rFonts w:ascii="Calibri" w:hAnsi="Calibri"/>
                <w:color w:val="334155"/>
                <w:sz w:val="18"/>
              </w:rPr>
              <w:t>Excelente (Sintaxis limpia y ágil)</w:t>
            </w:r>
          </w:p>
        </w:tc>
        <w:tc>
          <w:tcPr>
            <w:tcW w:type="dxa" w:w="1584"/>
            <w:shd w:fill="F8FAFC"/>
            <w:tcMar>
              <w:top w:w="100" w:type="dxa"/>
              <w:bottom w:w="100" w:type="dxa"/>
              <w:left w:w="120" w:type="dxa"/>
              <w:right w:w="120" w:type="dxa"/>
            </w:tcMar>
          </w:tcPr>
          <w:p>
            <w:pPr>
              <w:spacing w:before="40" w:after="40"/>
            </w:pPr>
            <w:r>
              <w:rPr>
                <w:rFonts w:ascii="Calibri" w:hAnsi="Calibri"/>
                <w:color w:val="334155"/>
                <w:sz w:val="18"/>
              </w:rPr>
              <w:t>Excelente (Web moderna interactiva)</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Bajo (Sincronizable por copy-paste)</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Lucidchart (Manual)</w:t>
            </w:r>
          </w:p>
        </w:tc>
        <w:tc>
          <w:tcPr>
            <w:tcW w:type="dxa" w:w="2016"/>
            <w:shd w:fill="FFFFFF"/>
            <w:tcMar>
              <w:top w:w="100" w:type="dxa"/>
              <w:bottom w:w="100" w:type="dxa"/>
              <w:left w:w="120" w:type="dxa"/>
              <w:right w:w="120" w:type="dxa"/>
            </w:tcMar>
          </w:tcPr>
          <w:p>
            <w:pPr>
              <w:spacing w:before="40" w:after="40"/>
            </w:pPr>
            <w:r>
              <w:rPr>
                <w:rFonts w:ascii="Calibri" w:hAnsi="Calibri"/>
                <w:color w:val="334155"/>
                <w:sz w:val="18"/>
              </w:rPr>
              <w:t>Nula (Binario o URL en la nube)</w:t>
            </w:r>
          </w:p>
        </w:tc>
        <w:tc>
          <w:tcPr>
            <w:tcW w:type="dxa" w:w="1872"/>
            <w:shd w:fill="FFFFFF"/>
            <w:tcMar>
              <w:top w:w="100" w:type="dxa"/>
              <w:bottom w:w="100" w:type="dxa"/>
              <w:left w:w="120" w:type="dxa"/>
              <w:right w:w="120" w:type="dxa"/>
            </w:tcMar>
          </w:tcPr>
          <w:p>
            <w:pPr>
              <w:spacing w:before="40" w:after="40"/>
            </w:pPr>
            <w:r>
              <w:rPr>
                <w:rFonts w:ascii="Calibri" w:hAnsi="Calibri"/>
                <w:color w:val="334155"/>
                <w:sz w:val="18"/>
              </w:rPr>
              <w:t>Baja (Copia/pega manual de campos)</w:t>
            </w:r>
          </w:p>
        </w:tc>
        <w:tc>
          <w:tcPr>
            <w:tcW w:type="dxa" w:w="1584"/>
            <w:shd w:fill="FFFFFF"/>
            <w:tcMar>
              <w:top w:w="100" w:type="dxa"/>
              <w:bottom w:w="100" w:type="dxa"/>
              <w:left w:w="120" w:type="dxa"/>
              <w:right w:w="120" w:type="dxa"/>
            </w:tcMar>
          </w:tcPr>
          <w:p>
            <w:pPr>
              <w:spacing w:before="40" w:after="40"/>
            </w:pPr>
            <w:r>
              <w:rPr>
                <w:rFonts w:ascii="Calibri" w:hAnsi="Calibri"/>
                <w:color w:val="334155"/>
                <w:sz w:val="18"/>
              </w:rPr>
              <w:t>Excelente y personalizable</w:t>
            </w:r>
          </w:p>
        </w:tc>
        <w:tc>
          <w:tcPr>
            <w:tcW w:type="dxa" w:w="1728"/>
            <w:shd w:fill="FFFFFF"/>
            <w:tcMar>
              <w:top w:w="100" w:type="dxa"/>
              <w:bottom w:w="100" w:type="dxa"/>
              <w:left w:w="120" w:type="dxa"/>
              <w:right w:w="120" w:type="dxa"/>
            </w:tcMar>
          </w:tcPr>
          <w:p>
            <w:pPr>
              <w:spacing w:before="40" w:after="40"/>
            </w:pPr>
            <w:r>
              <w:rPr>
                <w:rFonts w:ascii="Calibri" w:hAnsi="Calibri"/>
                <w:color w:val="334155"/>
                <w:sz w:val="18"/>
              </w:rPr>
              <w:t>Alto (Actualizaciones manuales)</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SQL DDL (.sql / Flyway)</w:t>
            </w:r>
          </w:p>
        </w:tc>
        <w:tc>
          <w:tcPr>
            <w:tcW w:type="dxa" w:w="2016"/>
            <w:shd w:fill="F8FAFC"/>
            <w:tcMar>
              <w:top w:w="100" w:type="dxa"/>
              <w:bottom w:w="100" w:type="dxa"/>
              <w:left w:w="120" w:type="dxa"/>
              <w:right w:w="120" w:type="dxa"/>
            </w:tcMar>
          </w:tcPr>
          <w:p>
            <w:pPr>
              <w:spacing w:before="40" w:after="40"/>
            </w:pPr>
            <w:r>
              <w:rPr>
                <w:rFonts w:ascii="Calibri" w:hAnsi="Calibri"/>
                <w:color w:val="334155"/>
                <w:sz w:val="18"/>
              </w:rPr>
              <w:t>Nativo (Scripts SQL en Git)</w:t>
            </w:r>
          </w:p>
        </w:tc>
        <w:tc>
          <w:tcPr>
            <w:tcW w:type="dxa" w:w="1872"/>
            <w:shd w:fill="F8FAFC"/>
            <w:tcMar>
              <w:top w:w="100" w:type="dxa"/>
              <w:bottom w:w="100" w:type="dxa"/>
              <w:left w:w="120" w:type="dxa"/>
              <w:right w:w="120" w:type="dxa"/>
            </w:tcMar>
          </w:tcPr>
          <w:p>
            <w:pPr>
              <w:spacing w:before="40" w:after="40"/>
            </w:pPr>
            <w:r>
              <w:rPr>
                <w:rFonts w:ascii="Calibri" w:hAnsi="Calibri"/>
                <w:color w:val="334155"/>
                <w:sz w:val="18"/>
              </w:rPr>
              <w:t>Óptima para DDL relacional</w:t>
            </w:r>
          </w:p>
        </w:tc>
        <w:tc>
          <w:tcPr>
            <w:tcW w:type="dxa" w:w="1584"/>
            <w:shd w:fill="F8FAFC"/>
            <w:tcMar>
              <w:top w:w="100" w:type="dxa"/>
              <w:bottom w:w="100" w:type="dxa"/>
              <w:left w:w="120" w:type="dxa"/>
              <w:right w:w="120" w:type="dxa"/>
            </w:tcMar>
          </w:tcPr>
          <w:p>
            <w:pPr>
              <w:spacing w:before="40" w:after="40"/>
            </w:pPr>
            <w:r>
              <w:rPr>
                <w:rFonts w:ascii="Calibri" w:hAnsi="Calibri"/>
                <w:color w:val="334155"/>
                <w:sz w:val="18"/>
              </w:rPr>
              <w:t>Requiere visor externo (DBeaver)</w:t>
            </w:r>
          </w:p>
        </w:tc>
        <w:tc>
          <w:tcPr>
            <w:tcW w:type="dxa" w:w="1728"/>
            <w:shd w:fill="F8FAFC"/>
            <w:tcMar>
              <w:top w:w="100" w:type="dxa"/>
              <w:bottom w:w="100" w:type="dxa"/>
              <w:left w:w="120" w:type="dxa"/>
              <w:right w:w="120" w:type="dxa"/>
            </w:tcMar>
          </w:tcPr>
          <w:p>
            <w:pPr>
              <w:spacing w:before="40" w:after="40"/>
            </w:pPr>
            <w:r>
              <w:rPr>
                <w:rFonts w:ascii="Calibri" w:hAnsi="Calibri"/>
                <w:color w:val="334155"/>
                <w:sz w:val="18"/>
              </w:rPr>
              <w:t>Medio (Script ejecutable formal)</w:t>
            </w:r>
          </w:p>
        </w:tc>
      </w:tr>
    </w:tbl>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left w:val="single" w:sz="24" w:space="0" w:color="2563EB"/>
              <w:top w:val="none"/>
              <w:bottom w:val="none"/>
              <w:right w:val="none"/>
            </w:tcBorders>
          </w:tcPr>
          <w:p>
            <w:pPr>
              <w:spacing w:before="40" w:after="40"/>
            </w:pPr>
            <w:r>
              <w:rPr>
                <w:rFonts w:ascii="Calibri" w:hAnsi="Calibri"/>
                <w:b/>
                <w:color w:val="1D4ED8"/>
                <w:sz w:val="20"/>
              </w:rPr>
              <w:t xml:space="preserve">[FLUJO RECOMENDADO] </w:t>
            </w:r>
            <w:r>
              <w:rPr>
                <w:rFonts w:ascii="Calibri" w:hAnsi="Calibri"/>
                <w:color w:val="1E293B"/>
                <w:sz w:val="20"/>
              </w:rPr>
              <w:t>Flujo de Trabajo Recomendado: Diseñar el DER físico en PlantUML (.puml) dentro de docs/arquitectura/diseno/&lt;servicio&gt;/der-fisico.puml usando la IA para el modelado relacional riguroso (claves foráneas, tipos PostgreSQL, restricciones). Para el informe de entrega se exporta a SVG/PNG de alta definición, garantizando trazabilidad en Git y máxima calidad gráfica.</w:t>
            </w:r>
          </w:p>
        </w:tc>
      </w:tr>
    </w:tbl>
    <w:p>
      <w:pPr>
        <w:spacing w:after="80"/>
      </w:pPr>
    </w:p>
    <w:p>
      <w:pPr>
        <w:pStyle w:val="Heading1"/>
        <w:keepNext/>
        <w:spacing w:before="360" w:after="120"/>
      </w:pPr>
      <w:r>
        <w:rPr>
          <w:rFonts w:ascii="Calibri" w:hAnsi="Calibri"/>
          <w:b/>
          <w:color w:val="1E3A8A"/>
          <w:sz w:val="36"/>
        </w:rPr>
        <w:t>5. Frente 4: Migración a RabbitMQ (SPEC-03 Etapa 2)</w:t>
      </w:r>
    </w:p>
    <w:p>
      <w:r>
        <w:rPr>
          <w:rFonts w:ascii="Calibri" w:hAnsi="Calibri"/>
          <w:sz w:val="20"/>
        </w:rPr>
        <w:t>La Etapa 1 de SPEC-03 dejó formalizada la arquitectura Pub/Sub canónica, los 10 JSON Schemas v1 y el ADR transversal. La Etapa 2 consiste en la implementación en código Java eliminando las llamadas síncronas OpenFeign en mutaciones.</w:t>
        <w:br/>
        <w:br/>
        <w:t>Estrategias de Rollout entre Subgrupos:</w:t>
        <w:br/>
        <w:t>• Opción 1 — Orden Secuencial por Dependencia: Implementar primero Notificaciones (consumidor listo con Inbox), luego Incentivos (productor simple) y finalmente Donaciones (productor con Transactional Outbox). Trade-off: Cero riesgo de colas inexistentes, pero genera cuellos de botella si un subgrupo se retrasa.</w:t>
        <w:br/>
        <w:br/>
        <w:t>• Opción 2 — Implementación en Paralelo Desacoplada (Recomendada): Cada subgrupo implementa su microservicio en paralelo apoyándose en los JSON Schemas v1 ya acordados y probando con Testcontainers RabbitMQ en suites locales. Trade-off: Máxima productividad para 9 personas; exige que Notificaciones mergee primero para validar los tests E2E distribuidos.</w:t>
        <w:br/>
        <w:br/>
        <w:t>• Opción 3 — Migración Híbrida con Fallback Temporal: Mantener Feign activo en paralelo a RabbitMQ. Trade-off: Descartada de plano porque perpetúa la deuda técnica DTI-13 y contradice el Hard Cutover exigido por cátedra.</w:t>
      </w:r>
    </w:p>
    <w:p>
      <w:pPr>
        <w:pStyle w:val="Heading1"/>
        <w:keepNext/>
        <w:spacing w:before="360" w:after="120"/>
      </w:pPr>
      <w:r>
        <w:rPr>
          <w:rFonts w:ascii="Calibri" w:hAnsi="Calibri"/>
          <w:b/>
          <w:color w:val="1E3A8A"/>
          <w:sz w:val="36"/>
        </w:rPr>
        <w:t>6. Organización de la Reunión de Diseño (9 Personas, 1 a 2 Horas)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left w:val="single" w:sz="24" w:space="0" w:color="2563EB"/>
              <w:top w:val="none"/>
              <w:bottom w:val="none"/>
              <w:right w:val="none"/>
            </w:tcBorders>
          </w:tcPr>
          <w:p>
            <w:pPr>
              <w:spacing w:before="40" w:after="40"/>
            </w:pPr>
            <w:r>
              <w:rPr>
                <w:rFonts w:ascii="Calibri" w:hAnsi="Calibri"/>
                <w:b/>
                <w:color w:val="1D4ED8"/>
                <w:sz w:val="20"/>
              </w:rPr>
              <w:t xml:space="preserve">[ALERTA METODOLÓGICA] </w:t>
            </w:r>
            <w:r>
              <w:rPr>
                <w:rFonts w:ascii="Calibri" w:hAnsi="Calibri"/>
                <w:color w:val="1E293B"/>
                <w:sz w:val="20"/>
              </w:rPr>
              <w:t>Antipatrón Crítico a Evitar: 9 personas en una única llamada abierta debatiendo detalles finos de implementación. Resultado habitual: 3 personas hablan, 6 se desconectan mentalmente, se consumen las 2 horas sin acuerdos y el equipo sale sin especificaciones escritas para programar.</w:t>
            </w:r>
          </w:p>
        </w:tc>
      </w:tr>
    </w:tbl>
    <w:p>
      <w:pPr>
        <w:spacing w:after="80"/>
      </w:pPr>
    </w:p>
    <w:p>
      <w:r>
        <w:rPr>
          <w:rFonts w:ascii="Calibri" w:hAnsi="Calibri"/>
          <w:sz w:val="20"/>
        </w:rPr>
        <w:t>Para maximizar la eficacia, se adopta la Metodología de 4 Tiempos con Breakout Rooms: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340"/>
        <w:gridCol w:w="2340"/>
        <w:gridCol w:w="2340"/>
        <w:gridCol w:w="2340"/>
      </w:tblGrid>
      <w:tr>
        <w:tc>
          <w:tcPr>
            <w:tcW w:type="dxa" w:w="2160"/>
            <w:shd w:fill="1E3A8A"/>
            <w:tcMar>
              <w:top w:w="120" w:type="dxa"/>
              <w:bottom w:w="120" w:type="dxa"/>
              <w:left w:w="120" w:type="dxa"/>
              <w:right w:w="120" w:type="dxa"/>
            </w:tcMar>
          </w:tcPr>
          <w:p>
            <w:pPr>
              <w:jc w:val="center"/>
            </w:pPr>
            <w:r>
              <w:rPr>
                <w:rFonts w:ascii="Calibri" w:hAnsi="Calibri"/>
                <w:b/>
                <w:color w:val="FFFFFF"/>
                <w:sz w:val="19"/>
              </w:rPr>
              <w:t>Bloque / Tiempo</w:t>
            </w:r>
          </w:p>
        </w:tc>
        <w:tc>
          <w:tcPr>
            <w:tcW w:type="dxa" w:w="1440"/>
            <w:shd w:fill="1E3A8A"/>
            <w:tcMar>
              <w:top w:w="120" w:type="dxa"/>
              <w:bottom w:w="120" w:type="dxa"/>
              <w:left w:w="120" w:type="dxa"/>
              <w:right w:w="120" w:type="dxa"/>
            </w:tcMar>
          </w:tcPr>
          <w:p>
            <w:pPr>
              <w:jc w:val="center"/>
            </w:pPr>
            <w:r>
              <w:rPr>
                <w:rFonts w:ascii="Calibri" w:hAnsi="Calibri"/>
                <w:b/>
                <w:color w:val="FFFFFF"/>
                <w:sz w:val="19"/>
              </w:rPr>
              <w:t>Duración</w:t>
            </w:r>
          </w:p>
        </w:tc>
        <w:tc>
          <w:tcPr>
            <w:tcW w:type="dxa" w:w="3888"/>
            <w:shd w:fill="1E3A8A"/>
            <w:tcMar>
              <w:top w:w="120" w:type="dxa"/>
              <w:bottom w:w="120" w:type="dxa"/>
              <w:left w:w="120" w:type="dxa"/>
              <w:right w:w="120" w:type="dxa"/>
            </w:tcMar>
          </w:tcPr>
          <w:p>
            <w:pPr>
              <w:jc w:val="center"/>
            </w:pPr>
            <w:r>
              <w:rPr>
                <w:rFonts w:ascii="Calibri" w:hAnsi="Calibri"/>
                <w:b/>
                <w:color w:val="FFFFFF"/>
                <w:sz w:val="19"/>
              </w:rPr>
              <w:t>Objetivo y Dinámica</w:t>
            </w:r>
          </w:p>
        </w:tc>
        <w:tc>
          <w:tcPr>
            <w:tcW w:type="dxa" w:w="1872"/>
            <w:shd w:fill="1E3A8A"/>
            <w:tcMar>
              <w:top w:w="120" w:type="dxa"/>
              <w:bottom w:w="120" w:type="dxa"/>
              <w:left w:w="120" w:type="dxa"/>
              <w:right w:w="120" w:type="dxa"/>
            </w:tcMar>
          </w:tcPr>
          <w:p>
            <w:pPr>
              <w:jc w:val="center"/>
            </w:pPr>
            <w:r>
              <w:rPr>
                <w:rFonts w:ascii="Calibri" w:hAnsi="Calibri"/>
                <w:b/>
                <w:color w:val="FFFFFF"/>
                <w:sz w:val="19"/>
              </w:rPr>
              <w:t>Responsables</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Tiempo 1:</w:t>
              <w:br/>
              <w:t>Encuadre Plenario</w:t>
            </w:r>
          </w:p>
        </w:tc>
        <w:tc>
          <w:tcPr>
            <w:tcW w:type="dxa" w:w="1440"/>
            <w:shd w:fill="FFFFFF"/>
            <w:tcMar>
              <w:top w:w="100" w:type="dxa"/>
              <w:bottom w:w="100" w:type="dxa"/>
              <w:left w:w="120" w:type="dxa"/>
              <w:right w:w="120" w:type="dxa"/>
            </w:tcMar>
          </w:tcPr>
          <w:p>
            <w:pPr>
              <w:spacing w:before="40" w:after="40"/>
            </w:pPr>
            <w:r>
              <w:rPr>
                <w:rFonts w:ascii="Calibri" w:hAnsi="Calibri"/>
                <w:color w:val="334155"/>
                <w:sz w:val="18"/>
              </w:rPr>
              <w:t>15 min</w:t>
            </w:r>
          </w:p>
        </w:tc>
        <w:tc>
          <w:tcPr>
            <w:tcW w:type="dxa" w:w="3888"/>
            <w:shd w:fill="FFFFFF"/>
            <w:tcMar>
              <w:top w:w="100" w:type="dxa"/>
              <w:bottom w:w="100" w:type="dxa"/>
              <w:left w:w="120" w:type="dxa"/>
              <w:right w:w="120" w:type="dxa"/>
            </w:tcMar>
          </w:tcPr>
          <w:p>
            <w:pPr>
              <w:spacing w:before="40" w:after="40"/>
            </w:pPr>
            <w:r>
              <w:rPr>
                <w:rFonts w:ascii="Calibri" w:hAnsi="Calibri"/>
                <w:color w:val="334155"/>
                <w:sz w:val="18"/>
              </w:rPr>
              <w:t>Repaso general de los 4 frentes, asignación de los 3 subgrupos de 3 personas y designación de 1 Moderador y 3 Escribanos de Spec.</w:t>
            </w:r>
          </w:p>
        </w:tc>
        <w:tc>
          <w:tcPr>
            <w:tcW w:type="dxa" w:w="1872"/>
            <w:shd w:fill="FFFFFF"/>
            <w:tcMar>
              <w:top w:w="100" w:type="dxa"/>
              <w:bottom w:w="100" w:type="dxa"/>
              <w:left w:w="120" w:type="dxa"/>
              <w:right w:w="120" w:type="dxa"/>
            </w:tcMar>
          </w:tcPr>
          <w:p>
            <w:pPr>
              <w:spacing w:before="40" w:after="40"/>
            </w:pPr>
            <w:r>
              <w:rPr>
                <w:rFonts w:ascii="Calibri" w:hAnsi="Calibri"/>
                <w:color w:val="334155"/>
                <w:sz w:val="18"/>
              </w:rPr>
              <w:t>Todo el equipo</w:t>
              <w:br/>
              <w:t>(Facilita Moderador)</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Tiempo 2:</w:t>
              <w:br/>
              <w:t>Decisiones Macro</w:t>
            </w:r>
          </w:p>
        </w:tc>
        <w:tc>
          <w:tcPr>
            <w:tcW w:type="dxa" w:w="1440"/>
            <w:shd w:fill="F8FAFC"/>
            <w:tcMar>
              <w:top w:w="100" w:type="dxa"/>
              <w:bottom w:w="100" w:type="dxa"/>
              <w:left w:w="120" w:type="dxa"/>
              <w:right w:w="120" w:type="dxa"/>
            </w:tcMar>
          </w:tcPr>
          <w:p>
            <w:pPr>
              <w:spacing w:before="40" w:after="40"/>
            </w:pPr>
            <w:r>
              <w:rPr>
                <w:rFonts w:ascii="Calibri" w:hAnsi="Calibri"/>
                <w:color w:val="334155"/>
                <w:sz w:val="18"/>
              </w:rPr>
              <w:t>25 min</w:t>
            </w:r>
          </w:p>
        </w:tc>
        <w:tc>
          <w:tcPr>
            <w:tcW w:type="dxa" w:w="3888"/>
            <w:shd w:fill="F8FAFC"/>
            <w:tcMar>
              <w:top w:w="100" w:type="dxa"/>
              <w:bottom w:w="100" w:type="dxa"/>
              <w:left w:w="120" w:type="dxa"/>
              <w:right w:w="120" w:type="dxa"/>
            </w:tcMar>
          </w:tcPr>
          <w:p>
            <w:pPr>
              <w:spacing w:before="40" w:after="40"/>
            </w:pPr>
            <w:r>
              <w:rPr>
                <w:rFonts w:ascii="Calibri" w:hAnsi="Calibri"/>
                <w:color w:val="334155"/>
                <w:sz w:val="18"/>
              </w:rPr>
              <w:t>Votación de decisiones transversales:</w:t>
              <w:br/>
              <w:t>1. Broker: ¿In-Process (Alt. A) o Servicio?</w:t>
              <w:br/>
              <w:t>2. Cloud: ¿AWS App Runner o Render?</w:t>
              <w:br/>
              <w:t>3. DER: Confirmación de PlantUML en Git.</w:t>
            </w:r>
          </w:p>
        </w:tc>
        <w:tc>
          <w:tcPr>
            <w:tcW w:type="dxa" w:w="1872"/>
            <w:shd w:fill="F8FAFC"/>
            <w:tcMar>
              <w:top w:w="100" w:type="dxa"/>
              <w:bottom w:w="100" w:type="dxa"/>
              <w:left w:w="120" w:type="dxa"/>
              <w:right w:w="120" w:type="dxa"/>
            </w:tcMar>
          </w:tcPr>
          <w:p>
            <w:pPr>
              <w:spacing w:before="40" w:after="40"/>
            </w:pPr>
            <w:r>
              <w:rPr>
                <w:rFonts w:ascii="Calibri" w:hAnsi="Calibri"/>
                <w:color w:val="334155"/>
                <w:sz w:val="18"/>
              </w:rPr>
              <w:t>Todo el equipo</w:t>
              <w:br/>
              <w:t>(Votación ágil)</w:t>
            </w:r>
          </w:p>
        </w:tc>
      </w:tr>
      <w:tr>
        <w:tc>
          <w:tcPr>
            <w:tcW w:type="dxa" w:w="2160"/>
            <w:shd w:fill="FFFFFF"/>
            <w:tcMar>
              <w:top w:w="100" w:type="dxa"/>
              <w:bottom w:w="100" w:type="dxa"/>
              <w:left w:w="120" w:type="dxa"/>
              <w:right w:w="120" w:type="dxa"/>
            </w:tcMar>
          </w:tcPr>
          <w:p>
            <w:pPr>
              <w:spacing w:before="40" w:after="40"/>
            </w:pPr>
            <w:r>
              <w:rPr>
                <w:rFonts w:ascii="Calibri" w:hAnsi="Calibri"/>
                <w:color w:val="334155"/>
                <w:sz w:val="18"/>
              </w:rPr>
              <w:t>Tiempo 3:</w:t>
              <w:br/>
              <w:t>Salas en Paralelo</w:t>
              <w:br/>
              <w:t>(Breakout Rooms)</w:t>
            </w:r>
          </w:p>
        </w:tc>
        <w:tc>
          <w:tcPr>
            <w:tcW w:type="dxa" w:w="1440"/>
            <w:shd w:fill="FFFFFF"/>
            <w:tcMar>
              <w:top w:w="100" w:type="dxa"/>
              <w:bottom w:w="100" w:type="dxa"/>
              <w:left w:w="120" w:type="dxa"/>
              <w:right w:w="120" w:type="dxa"/>
            </w:tcMar>
          </w:tcPr>
          <w:p>
            <w:pPr>
              <w:spacing w:before="40" w:after="40"/>
            </w:pPr>
            <w:r>
              <w:rPr>
                <w:rFonts w:ascii="Calibri" w:hAnsi="Calibri"/>
                <w:color w:val="334155"/>
                <w:sz w:val="18"/>
              </w:rPr>
              <w:t>35 min</w:t>
            </w:r>
          </w:p>
        </w:tc>
        <w:tc>
          <w:tcPr>
            <w:tcW w:type="dxa" w:w="3888"/>
            <w:shd w:fill="FFFFFF"/>
            <w:tcMar>
              <w:top w:w="100" w:type="dxa"/>
              <w:bottom w:w="100" w:type="dxa"/>
              <w:left w:w="120" w:type="dxa"/>
              <w:right w:w="120" w:type="dxa"/>
            </w:tcMar>
          </w:tcPr>
          <w:p>
            <w:pPr>
              <w:spacing w:before="40" w:after="40"/>
            </w:pPr>
            <w:r>
              <w:rPr>
                <w:rFonts w:ascii="Calibri" w:hAnsi="Calibri"/>
                <w:color w:val="334155"/>
                <w:sz w:val="18"/>
              </w:rPr>
              <w:t>División en 3 salas de trabajo simultáneo:</w:t>
              <w:br/>
              <w:t>• Sala 1: Broker de Logística y Despliegue Cloud.</w:t>
              <w:br/>
              <w:t>• Sala 2: RabbitMQ y erradicación de Feign.</w:t>
              <w:br/>
              <w:t>• Sala 3: Modelo de datos y DER físico.</w:t>
            </w:r>
          </w:p>
        </w:tc>
        <w:tc>
          <w:tcPr>
            <w:tcW w:type="dxa" w:w="1872"/>
            <w:shd w:fill="FFFFFF"/>
            <w:tcMar>
              <w:top w:w="100" w:type="dxa"/>
              <w:bottom w:w="100" w:type="dxa"/>
              <w:left w:w="120" w:type="dxa"/>
              <w:right w:w="120" w:type="dxa"/>
            </w:tcMar>
          </w:tcPr>
          <w:p>
            <w:pPr>
              <w:spacing w:before="40" w:after="40"/>
            </w:pPr>
            <w:r>
              <w:rPr>
                <w:rFonts w:ascii="Calibri" w:hAnsi="Calibri"/>
                <w:color w:val="334155"/>
                <w:sz w:val="18"/>
              </w:rPr>
              <w:t>Subgrupos A, B y C</w:t>
              <w:br/>
              <w:t>(Redactan borrador SDD)</w:t>
            </w:r>
          </w:p>
        </w:tc>
      </w:tr>
      <w:tr>
        <w:tc>
          <w:tcPr>
            <w:tcW w:type="dxa" w:w="2160"/>
            <w:shd w:fill="F8FAFC"/>
            <w:tcMar>
              <w:top w:w="100" w:type="dxa"/>
              <w:bottom w:w="100" w:type="dxa"/>
              <w:left w:w="120" w:type="dxa"/>
              <w:right w:w="120" w:type="dxa"/>
            </w:tcMar>
          </w:tcPr>
          <w:p>
            <w:pPr>
              <w:spacing w:before="40" w:after="40"/>
            </w:pPr>
            <w:r>
              <w:rPr>
                <w:rFonts w:ascii="Calibri" w:hAnsi="Calibri"/>
                <w:color w:val="334155"/>
                <w:sz w:val="18"/>
              </w:rPr>
              <w:t>Tiempo 4:</w:t>
              <w:br/>
              <w:t>Cierre Plenario y Specs</w:t>
            </w:r>
          </w:p>
        </w:tc>
        <w:tc>
          <w:tcPr>
            <w:tcW w:type="dxa" w:w="1440"/>
            <w:shd w:fill="F8FAFC"/>
            <w:tcMar>
              <w:top w:w="100" w:type="dxa"/>
              <w:bottom w:w="100" w:type="dxa"/>
              <w:left w:w="120" w:type="dxa"/>
              <w:right w:w="120" w:type="dxa"/>
            </w:tcMar>
          </w:tcPr>
          <w:p>
            <w:pPr>
              <w:spacing w:before="40" w:after="40"/>
            </w:pPr>
            <w:r>
              <w:rPr>
                <w:rFonts w:ascii="Calibri" w:hAnsi="Calibri"/>
                <w:color w:val="334155"/>
                <w:sz w:val="18"/>
              </w:rPr>
              <w:t>20 min</w:t>
            </w:r>
          </w:p>
        </w:tc>
        <w:tc>
          <w:tcPr>
            <w:tcW w:type="dxa" w:w="3888"/>
            <w:shd w:fill="F8FAFC"/>
            <w:tcMar>
              <w:top w:w="100" w:type="dxa"/>
              <w:bottom w:w="100" w:type="dxa"/>
              <w:left w:w="120" w:type="dxa"/>
              <w:right w:w="120" w:type="dxa"/>
            </w:tcMar>
          </w:tcPr>
          <w:p>
            <w:pPr>
              <w:spacing w:before="40" w:after="40"/>
            </w:pPr>
            <w:r>
              <w:rPr>
                <w:rFonts w:ascii="Calibri" w:hAnsi="Calibri"/>
                <w:color w:val="334155"/>
                <w:sz w:val="18"/>
              </w:rPr>
              <w:t>Cada Escribano expone la Spec de su subgrupo (5 min c/u). Ajuste de interfaces cruzadas y asignación formal de PRs en GitHub.</w:t>
            </w:r>
          </w:p>
        </w:tc>
        <w:tc>
          <w:tcPr>
            <w:tcW w:type="dxa" w:w="1872"/>
            <w:shd w:fill="F8FAFC"/>
            <w:tcMar>
              <w:top w:w="100" w:type="dxa"/>
              <w:bottom w:w="100" w:type="dxa"/>
              <w:left w:w="120" w:type="dxa"/>
              <w:right w:w="120" w:type="dxa"/>
            </w:tcMar>
          </w:tcPr>
          <w:p>
            <w:pPr>
              <w:spacing w:before="40" w:after="40"/>
            </w:pPr>
            <w:r>
              <w:rPr>
                <w:rFonts w:ascii="Calibri" w:hAnsi="Calibri"/>
                <w:color w:val="334155"/>
                <w:sz w:val="18"/>
              </w:rPr>
              <w:t>Todo el equipo</w:t>
              <w:br/>
              <w:t>(Aprobación formal)</w:t>
            </w:r>
          </w:p>
        </w:tc>
      </w:tr>
    </w:tbl>
    <w:p>
      <w:pPr>
        <w:pStyle w:val="Heading2"/>
        <w:keepNext/>
        <w:spacing w:before="280" w:after="80"/>
      </w:pPr>
      <w:r>
        <w:rPr>
          <w:rFonts w:ascii="Calibri" w:hAnsi="Calibri"/>
          <w:b/>
          <w:color w:val="2563EB"/>
          <w:sz w:val="28"/>
        </w:rPr>
        <w:t>Asignación de Subgrupos y Entregables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340"/>
        <w:gridCol w:w="2340"/>
        <w:gridCol w:w="2340"/>
        <w:gridCol w:w="2340"/>
      </w:tblGrid>
      <w:tr>
        <w:tc>
          <w:tcPr>
            <w:tcW w:type="dxa" w:w="2016"/>
            <w:shd w:fill="1E3A8A"/>
            <w:tcMar>
              <w:top w:w="120" w:type="dxa"/>
              <w:bottom w:w="120" w:type="dxa"/>
              <w:left w:w="120" w:type="dxa"/>
              <w:right w:w="120" w:type="dxa"/>
            </w:tcMar>
          </w:tcPr>
          <w:p>
            <w:pPr>
              <w:jc w:val="center"/>
            </w:pPr>
            <w:r>
              <w:rPr>
                <w:rFonts w:ascii="Calibri" w:hAnsi="Calibri"/>
                <w:b/>
                <w:color w:val="FFFFFF"/>
                <w:sz w:val="19"/>
              </w:rPr>
              <w:t>Subgrupo</w:t>
            </w:r>
          </w:p>
        </w:tc>
        <w:tc>
          <w:tcPr>
            <w:tcW w:type="dxa" w:w="3168"/>
            <w:shd w:fill="1E3A8A"/>
            <w:tcMar>
              <w:top w:w="120" w:type="dxa"/>
              <w:bottom w:w="120" w:type="dxa"/>
              <w:left w:w="120" w:type="dxa"/>
              <w:right w:w="120" w:type="dxa"/>
            </w:tcMar>
          </w:tcPr>
          <w:p>
            <w:pPr>
              <w:jc w:val="center"/>
            </w:pPr>
            <w:r>
              <w:rPr>
                <w:rFonts w:ascii="Calibri" w:hAnsi="Calibri"/>
                <w:b/>
                <w:color w:val="FFFFFF"/>
                <w:sz w:val="19"/>
              </w:rPr>
              <w:t>Foco Operativo</w:t>
            </w:r>
          </w:p>
        </w:tc>
        <w:tc>
          <w:tcPr>
            <w:tcW w:type="dxa" w:w="1440"/>
            <w:shd w:fill="1E3A8A"/>
            <w:tcMar>
              <w:top w:w="120" w:type="dxa"/>
              <w:bottom w:w="120" w:type="dxa"/>
              <w:left w:w="120" w:type="dxa"/>
              <w:right w:w="120" w:type="dxa"/>
            </w:tcMar>
          </w:tcPr>
          <w:p>
            <w:pPr>
              <w:jc w:val="center"/>
            </w:pPr>
            <w:r>
              <w:rPr>
                <w:rFonts w:ascii="Calibri" w:hAnsi="Calibri"/>
                <w:b/>
                <w:color w:val="FFFFFF"/>
                <w:sz w:val="19"/>
              </w:rPr>
              <w:t>Personas</w:t>
            </w:r>
          </w:p>
        </w:tc>
        <w:tc>
          <w:tcPr>
            <w:tcW w:type="dxa" w:w="2736"/>
            <w:shd w:fill="1E3A8A"/>
            <w:tcMar>
              <w:top w:w="120" w:type="dxa"/>
              <w:bottom w:w="120" w:type="dxa"/>
              <w:left w:w="120" w:type="dxa"/>
              <w:right w:w="120" w:type="dxa"/>
            </w:tcMar>
          </w:tcPr>
          <w:p>
            <w:pPr>
              <w:jc w:val="center"/>
            </w:pPr>
            <w:r>
              <w:rPr>
                <w:rFonts w:ascii="Calibri" w:hAnsi="Calibri"/>
                <w:b/>
                <w:color w:val="FFFFFF"/>
                <w:sz w:val="19"/>
              </w:rPr>
              <w:t>Entregable al Finalizar la Sesión</w:t>
            </w:r>
          </w:p>
        </w:tc>
      </w:tr>
      <w:tr>
        <w:tc>
          <w:tcPr>
            <w:tcW w:type="dxa" w:w="2016"/>
            <w:shd w:fill="FFFFFF"/>
            <w:tcMar>
              <w:top w:w="100" w:type="dxa"/>
              <w:bottom w:w="100" w:type="dxa"/>
              <w:left w:w="120" w:type="dxa"/>
              <w:right w:w="120" w:type="dxa"/>
            </w:tcMar>
          </w:tcPr>
          <w:p>
            <w:pPr>
              <w:spacing w:before="40" w:after="40"/>
            </w:pPr>
            <w:r>
              <w:rPr>
                <w:rFonts w:ascii="Calibri" w:hAnsi="Calibri"/>
                <w:color w:val="334155"/>
                <w:sz w:val="18"/>
              </w:rPr>
              <w:t>Subgrupo 1:</w:t>
              <w:br/>
              <w:t>Logística &amp; Cloud</w:t>
            </w:r>
          </w:p>
        </w:tc>
        <w:tc>
          <w:tcPr>
            <w:tcW w:type="dxa" w:w="3168"/>
            <w:shd w:fill="FFFFFF"/>
            <w:tcMar>
              <w:top w:w="100" w:type="dxa"/>
              <w:bottom w:w="100" w:type="dxa"/>
              <w:left w:w="120" w:type="dxa"/>
              <w:right w:w="120" w:type="dxa"/>
            </w:tcMar>
          </w:tcPr>
          <w:p>
            <w:pPr>
              <w:spacing w:before="40" w:after="40"/>
            </w:pPr>
            <w:r>
              <w:rPr>
                <w:rFonts w:ascii="Calibri" w:hAnsi="Calibri"/>
                <w:color w:val="334155"/>
                <w:sz w:val="18"/>
              </w:rPr>
              <w:t>• Diseño de interfaces del Broker (ILogisticaBroker).</w:t>
              <w:br/>
              <w:t>• Configuración y setup de AWS App Runner / Render.</w:t>
            </w:r>
          </w:p>
        </w:tc>
        <w:tc>
          <w:tcPr>
            <w:tcW w:type="dxa" w:w="1440"/>
            <w:shd w:fill="FFFFFF"/>
            <w:tcMar>
              <w:top w:w="100" w:type="dxa"/>
              <w:bottom w:w="100" w:type="dxa"/>
              <w:left w:w="120" w:type="dxa"/>
              <w:right w:w="120" w:type="dxa"/>
            </w:tcMar>
          </w:tcPr>
          <w:p>
            <w:pPr>
              <w:spacing w:before="40" w:after="40"/>
            </w:pPr>
            <w:r>
              <w:rPr>
                <w:rFonts w:ascii="Calibri" w:hAnsi="Calibri"/>
                <w:color w:val="334155"/>
                <w:sz w:val="18"/>
              </w:rPr>
              <w:t>3 personas</w:t>
            </w:r>
          </w:p>
        </w:tc>
        <w:tc>
          <w:tcPr>
            <w:tcW w:type="dxa" w:w="2736"/>
            <w:shd w:fill="FFFFFF"/>
            <w:tcMar>
              <w:top w:w="100" w:type="dxa"/>
              <w:bottom w:w="100" w:type="dxa"/>
              <w:left w:w="120" w:type="dxa"/>
              <w:right w:w="120" w:type="dxa"/>
            </w:tcMar>
          </w:tcPr>
          <w:p>
            <w:pPr>
              <w:spacing w:before="40" w:after="40"/>
            </w:pPr>
            <w:r>
              <w:rPr>
                <w:rFonts w:ascii="Calibri" w:hAnsi="Calibri"/>
                <w:color w:val="334155"/>
                <w:sz w:val="18"/>
              </w:rPr>
              <w:t>Borrador de SPEC-04 con contratos del broker y URL/guía de despliegue en la nube.</w:t>
            </w:r>
          </w:p>
        </w:tc>
      </w:tr>
      <w:tr>
        <w:tc>
          <w:tcPr>
            <w:tcW w:type="dxa" w:w="2016"/>
            <w:shd w:fill="F8FAFC"/>
            <w:tcMar>
              <w:top w:w="100" w:type="dxa"/>
              <w:bottom w:w="100" w:type="dxa"/>
              <w:left w:w="120" w:type="dxa"/>
              <w:right w:w="120" w:type="dxa"/>
            </w:tcMar>
          </w:tcPr>
          <w:p>
            <w:pPr>
              <w:spacing w:before="40" w:after="40"/>
            </w:pPr>
            <w:r>
              <w:rPr>
                <w:rFonts w:ascii="Calibri" w:hAnsi="Calibri"/>
                <w:color w:val="334155"/>
                <w:sz w:val="18"/>
              </w:rPr>
              <w:t>Subgrupo 2:</w:t>
              <w:br/>
              <w:t>RabbitMQ &amp; SPEC-03</w:t>
            </w:r>
          </w:p>
        </w:tc>
        <w:tc>
          <w:tcPr>
            <w:tcW w:type="dxa" w:w="3168"/>
            <w:shd w:fill="F8FAFC"/>
            <w:tcMar>
              <w:top w:w="100" w:type="dxa"/>
              <w:bottom w:w="100" w:type="dxa"/>
              <w:left w:w="120" w:type="dxa"/>
              <w:right w:w="120" w:type="dxa"/>
            </w:tcMar>
          </w:tcPr>
          <w:p>
            <w:pPr>
              <w:spacing w:before="40" w:after="40"/>
            </w:pPr>
            <w:r>
              <w:rPr>
                <w:rFonts w:ascii="Calibri" w:hAnsi="Calibri"/>
                <w:color w:val="334155"/>
                <w:sz w:val="18"/>
              </w:rPr>
              <w:t>• Plan de clases para sustituir Feign por RabbitTemplate.</w:t>
              <w:br/>
              <w:t>• Setup de colas, bindings segregados e Inbox.</w:t>
            </w:r>
          </w:p>
        </w:tc>
        <w:tc>
          <w:tcPr>
            <w:tcW w:type="dxa" w:w="1440"/>
            <w:shd w:fill="F8FAFC"/>
            <w:tcMar>
              <w:top w:w="100" w:type="dxa"/>
              <w:bottom w:w="100" w:type="dxa"/>
              <w:left w:w="120" w:type="dxa"/>
              <w:right w:w="120" w:type="dxa"/>
            </w:tcMar>
          </w:tcPr>
          <w:p>
            <w:pPr>
              <w:spacing w:before="40" w:after="40"/>
            </w:pPr>
            <w:r>
              <w:rPr>
                <w:rFonts w:ascii="Calibri" w:hAnsi="Calibri"/>
                <w:color w:val="334155"/>
                <w:sz w:val="18"/>
              </w:rPr>
              <w:t>3 personas</w:t>
            </w:r>
          </w:p>
        </w:tc>
        <w:tc>
          <w:tcPr>
            <w:tcW w:type="dxa" w:w="2736"/>
            <w:shd w:fill="F8FAFC"/>
            <w:tcMar>
              <w:top w:w="100" w:type="dxa"/>
              <w:bottom w:w="100" w:type="dxa"/>
              <w:left w:w="120" w:type="dxa"/>
              <w:right w:w="120" w:type="dxa"/>
            </w:tcMar>
          </w:tcPr>
          <w:p>
            <w:pPr>
              <w:spacing w:before="40" w:after="40"/>
            </w:pPr>
            <w:r>
              <w:rPr>
                <w:rFonts w:ascii="Calibri" w:hAnsi="Calibri"/>
                <w:color w:val="334155"/>
                <w:sz w:val="18"/>
              </w:rPr>
              <w:t>Plan de refactor de código Java por microservicio y checklist de tests unitarios/integración.</w:t>
            </w:r>
          </w:p>
        </w:tc>
      </w:tr>
      <w:tr>
        <w:tc>
          <w:tcPr>
            <w:tcW w:type="dxa" w:w="2016"/>
            <w:shd w:fill="FFFFFF"/>
            <w:tcMar>
              <w:top w:w="100" w:type="dxa"/>
              <w:bottom w:w="100" w:type="dxa"/>
              <w:left w:w="120" w:type="dxa"/>
              <w:right w:w="120" w:type="dxa"/>
            </w:tcMar>
          </w:tcPr>
          <w:p>
            <w:pPr>
              <w:spacing w:before="40" w:after="40"/>
            </w:pPr>
            <w:r>
              <w:rPr>
                <w:rFonts w:ascii="Calibri" w:hAnsi="Calibri"/>
                <w:color w:val="334155"/>
                <w:sz w:val="18"/>
              </w:rPr>
              <w:t>Subgrupo 3:</w:t>
              <w:br/>
              <w:t>Persistencia &amp; DER</w:t>
            </w:r>
          </w:p>
        </w:tc>
        <w:tc>
          <w:tcPr>
            <w:tcW w:type="dxa" w:w="3168"/>
            <w:shd w:fill="FFFFFF"/>
            <w:tcMar>
              <w:top w:w="100" w:type="dxa"/>
              <w:bottom w:w="100" w:type="dxa"/>
              <w:left w:w="120" w:type="dxa"/>
              <w:right w:w="120" w:type="dxa"/>
            </w:tcMar>
          </w:tcPr>
          <w:p>
            <w:pPr>
              <w:spacing w:before="40" w:after="40"/>
            </w:pPr>
            <w:r>
              <w:rPr>
                <w:rFonts w:ascii="Calibri" w:hAnsi="Calibri"/>
                <w:color w:val="334155"/>
                <w:sz w:val="18"/>
              </w:rPr>
              <w:t>• DER físico de donaciones (bienes, donantes, estados).</w:t>
              <w:br/>
              <w:t>• DER físico de logistica (camiones, rutas, entregas).</w:t>
              <w:br/>
              <w:t>• DER físico de incentivos (misiones, rankings).</w:t>
            </w:r>
          </w:p>
        </w:tc>
        <w:tc>
          <w:tcPr>
            <w:tcW w:type="dxa" w:w="1440"/>
            <w:shd w:fill="FFFFFF"/>
            <w:tcMar>
              <w:top w:w="100" w:type="dxa"/>
              <w:bottom w:w="100" w:type="dxa"/>
              <w:left w:w="120" w:type="dxa"/>
              <w:right w:w="120" w:type="dxa"/>
            </w:tcMar>
          </w:tcPr>
          <w:p>
            <w:pPr>
              <w:spacing w:before="40" w:after="40"/>
            </w:pPr>
            <w:r>
              <w:rPr>
                <w:rFonts w:ascii="Calibri" w:hAnsi="Calibri"/>
                <w:color w:val="334155"/>
                <w:sz w:val="18"/>
              </w:rPr>
              <w:t>3 personas</w:t>
            </w:r>
          </w:p>
        </w:tc>
        <w:tc>
          <w:tcPr>
            <w:tcW w:type="dxa" w:w="2736"/>
            <w:shd w:fill="FFFFFF"/>
            <w:tcMar>
              <w:top w:w="100" w:type="dxa"/>
              <w:bottom w:w="100" w:type="dxa"/>
              <w:left w:w="120" w:type="dxa"/>
              <w:right w:w="120" w:type="dxa"/>
            </w:tcMar>
          </w:tcPr>
          <w:p>
            <w:pPr>
              <w:spacing w:before="40" w:after="40"/>
            </w:pPr>
            <w:r>
              <w:rPr>
                <w:rFonts w:ascii="Calibri" w:hAnsi="Calibri"/>
                <w:color w:val="334155"/>
                <w:sz w:val="18"/>
              </w:rPr>
              <w:t>Archivos PlantUML (.puml) con tablas, tipos SQL, claves foráneas e índices.</w:t>
            </w:r>
          </w:p>
        </w:tc>
      </w:tr>
    </w:tbl>
    <w:p>
      <w:pPr>
        <w:pStyle w:val="Heading1"/>
        <w:keepNext/>
        <w:spacing w:before="360" w:after="120"/>
      </w:pPr>
      <w:r>
        <w:rPr>
          <w:rFonts w:ascii="Calibri" w:hAnsi="Calibri"/>
          <w:b/>
          <w:color w:val="1E3A8A"/>
          <w:sz w:val="36"/>
        </w:rPr>
        <w:t>7. Plantilla Estándar para las Specs de Salida (SDD)</w:t>
      </w:r>
    </w:p>
    <w:p>
      <w:r>
        <w:rPr>
          <w:rFonts w:ascii="Calibri" w:hAnsi="Calibri"/>
          <w:sz w:val="20"/>
        </w:rPr>
        <w:t>Cada subgrupo completará este formato estándar durante el Tiempo 3 para que las decisiones queden formalizadas y listas para ser implementadas por los desarrolladores y agentes de 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8FAFC"/>
            <w:tcMar>
              <w:top w:w="120" w:type="dxa"/>
              <w:bottom w:w="120" w:type="dxa"/>
              <w:left w:w="150" w:type="dxa"/>
              <w:right w:w="150" w:type="dxa"/>
            </w:tcMar>
          </w:tcPr>
          <w:p>
            <w:r>
              <w:rPr>
                <w:rFonts w:ascii="Consolas" w:hAnsi="Consolas"/>
                <w:color w:val="0F172A"/>
                <w:sz w:val="17"/>
              </w:rPr>
              <w:t># Spec: SPEC-XX — [Título de la Funcionalidad o Frente]</w:t>
              <w:br/>
              <w:br/>
              <w:t>&gt; Subgrupo Responsable: [Integrantes]</w:t>
              <w:br/>
              <w:t>&gt; Estado: PROPOSED / APPROVED</w:t>
              <w:br/>
              <w:t>&gt; Microservicios Afectados: [donaciones / logistica / incentivos / notificaciones]</w:t>
              <w:br/>
              <w:br/>
              <w:t>### 1. Objetivo y Alcance Delimitado</w:t>
              <w:br/>
              <w:t>- Qué problema resuelve y qué funcionalidad introduce.</w:t>
              <w:br/>
              <w:t>- Límites estrictos (Out-of-Scope) para evitar scope creep.</w:t>
              <w:br/>
              <w:br/>
              <w:t>### 2. Decisiones de Diseño y Patrones</w:t>
              <w:br/>
              <w:t>- Alternativa seleccionada y justificación frente a las opciones descartadas.</w:t>
              <w:br/>
              <w:t>- Patrones de diseño aplicados (Strategy, Adapter, Transactional Outbox/Inbox, etc.).</w:t>
              <w:br/>
              <w:br/>
              <w:t>### 3. Contratos de Interfaz, Tablas o Mensajes</w:t>
              <w:br/>
              <w:t>- Signaturas de interfaces Java, métodos, DTOs y excepciones.</w:t>
              <w:br/>
              <w:t>- Definición de tablas relacionales o schemas JSON de eventos AMQP.</w:t>
              <w:br/>
              <w:br/>
              <w:t>### 4. Plan de Verificación (TDD &amp; Quality Gates)</w:t>
              <w:br/>
              <w:t>- Tests unitarios requeridos (Gate 1: mvn test -pl &lt;modulo&gt; -Dtest=...).</w:t>
              <w:br/>
              <w:t>- Tests de integración necesarios (Gate 2/3 con Testcontainers).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