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2020-05-13 - 2020-05-19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Judy Jones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Collin Multiday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 Bumpass Va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collinmultiday@gmail.com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2160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2020-04-18T19:47:44Z</dcterms:modified>
</cp:coreProperties>
</file>