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64653"/>
        </w:rPr>
        <w:t>Credit Risk Model with a CI/CD Quality Gate</w:t>
      </w:r>
    </w:p>
    <w:p>
      <w:r>
        <w:t>MLOps (Elective II), Project 1 · Team: Nikhil &amp;amp; Harsh · Syllabus topics 1, 2, 4, 10, 11, 12 · All results reproducible with make setup data reproduce; every number below is traceable to a tracked MLflow run (IDs in reports/).</w:t>
      </w:r>
    </w:p>
    <w:p>
      <w:pPr>
        <w:pStyle w:val="Heading2"/>
      </w:pPr>
      <w:r>
        <w:rPr>
          <w:color w:val="264653"/>
        </w:rPr>
        <w:t>1. Problem and what we built</w:t>
      </w:r>
    </w:p>
    <w:p>
      <w:r>
        <w:t xml:space="preserve">An untested change lowered a monthly credit-default model's quality for two weeks, and nobody could say which code, configuration or data produced it. We built a workflow in which </w:t>
      </w:r>
      <w:r>
        <w:rPr>
          <w:b/>
        </w:rPr>
        <w:t>every change is versioned (Git + DVC), validated (Pydantic configs, data contract), tested (58 pytest tests), tracked (MLflow, 38 runs) and accepted only if a retrained model is not worse than a protected baseline (GitHub Actions gate)</w:t>
      </w:r>
      <w:r>
        <w:t>. We also chose the gate rule by replaying eight candidate rules against our own run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7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figure maps every DevOps stage to a repository artefact (details: </w:t>
      </w:r>
      <w:r>
        <w:rPr>
          <w:rFonts w:ascii="Consolas" w:hAnsi="Consolas"/>
          <w:sz w:val="17"/>
        </w:rPr>
        <w:t>docs/lifecycle.md</w:t>
      </w:r>
      <w:r>
        <w:t>). Serving, live monitoring and a retrain scheduler are left out on purpose: the bank scores in batch, retrains monthly through a reviewed data PR, and has no live labels in this project. ML delivery differs from software delivery in five ways we had to design for:</w:t>
      </w:r>
    </w:p>
    <w:p>
      <w:pPr>
        <w:pStyle w:val="ListBullet"/>
      </w:pPr>
      <w:r>
        <w:t>behaviour depends on data as well as code;</w:t>
      </w:r>
    </w:p>
    <w:p>
      <w:pPr>
        <w:pStyle w:val="ListBullet"/>
      </w:pPr>
      <w:r>
        <w:t>passing tests does not mean a good model (dropping the delay features passed every test but lost 0.093 PR-AUC);</w:t>
      </w:r>
    </w:p>
    <w:p>
      <w:pPr>
        <w:pStyle w:val="ListBullet"/>
      </w:pPr>
      <w:r>
        <w:t>metrics are noisy, so tolerances must be measured;</w:t>
      </w:r>
    </w:p>
    <w:p>
      <w:pPr>
        <w:pStyle w:val="ListBullet"/>
      </w:pPr>
      <w:r>
        <w:t>the release unit is a trained pipeline plus its threshold, which needs lineage;</w:t>
      </w:r>
    </w:p>
    <w:p>
      <w:pPr>
        <w:pStyle w:val="ListBullet"/>
      </w:pPr>
      <w:r>
        <w:t>quality decays as populations drift.</w:t>
      </w:r>
    </w:p>
    <w:p>
      <w:pPr>
        <w:pStyle w:val="Heading2"/>
      </w:pPr>
      <w:r>
        <w:rPr>
          <w:color w:val="264653"/>
        </w:rPr>
        <w:t>2. Design decisions</w:t>
      </w:r>
    </w:p>
    <w:p>
      <w:r>
        <w:rPr>
          <w:b/>
        </w:rPr>
        <w:t>Versioning (Task 2).</w:t>
      </w:r>
    </w:p>
    <w:p>
      <w:pPr>
        <w:pStyle w:val="ListBullet"/>
      </w:pPr>
      <w:r>
        <w:t>Git holds code, configuration and a DVC pointer (</w:t>
      </w:r>
      <w:r>
        <w:rPr>
          <w:rFonts w:ascii="Consolas" w:hAnsi="Consolas"/>
          <w:sz w:val="17"/>
        </w:rPr>
        <w:t>data/raw/credit_card_customers.csv.dvc</w:t>
      </w:r>
      <w:r>
        <w:t>); the CSV is never in Git history.</w:t>
      </w:r>
    </w:p>
    <w:p>
      <w:pPr>
        <w:pStyle w:val="ListBullet"/>
      </w:pPr>
      <w:r>
        <w:t xml:space="preserve">The DVC remote is content-addressed storage on an orphan branch, </w:t>
      </w:r>
      <w:r>
        <w:rPr>
          <w:rFonts w:ascii="Consolas" w:hAnsi="Consolas"/>
          <w:sz w:val="17"/>
        </w:rPr>
        <w:t>dvc-storage</w:t>
      </w:r>
      <w:r>
        <w:t>, which CI reads with the built-in token. This is free, has no secrets, and works from a fresh clone. It can be swapped for S3 with one command.</w:t>
      </w:r>
    </w:p>
    <w:p>
      <w:pPr>
        <w:pStyle w:val="ListBullet"/>
      </w:pPr>
      <w:r>
        <w:rPr>
          <w:rFonts w:ascii="Consolas" w:hAnsi="Consolas"/>
          <w:sz w:val="17"/>
        </w:rPr>
        <w:t>data/versions.yaml</w:t>
      </w:r>
      <w:r>
        <w:t xml:space="preserve"> maps md5 → </w:t>
      </w:r>
      <w:r>
        <w:rPr>
          <w:rFonts w:ascii="Consolas" w:hAnsi="Consolas"/>
          <w:sz w:val="17"/>
        </w:rPr>
        <w:t>v1</w:t>
      </w:r>
      <w:r>
        <w:t>/</w:t>
      </w:r>
      <w:r>
        <w:rPr>
          <w:rFonts w:ascii="Consolas" w:hAnsi="Consolas"/>
          <w:sz w:val="17"/>
        </w:rPr>
        <w:t>v2</w:t>
      </w:r>
      <w:r>
        <w:t>. Tags mark restore points.</w:t>
      </w:r>
    </w:p>
    <w:p>
      <w:pPr>
        <w:pStyle w:val="ListBullet"/>
      </w:pPr>
      <w:r>
        <w:rPr>
          <w:rFonts w:ascii="Consolas" w:hAnsi="Consolas"/>
          <w:sz w:val="17"/>
        </w:rPr>
        <w:t>scripts/restore_demo.sh</w:t>
      </w:r>
      <w:r>
        <w:t xml:space="preserve"> clones tag </w:t>
      </w:r>
      <w:r>
        <w:rPr>
          <w:rFonts w:ascii="Consolas" w:hAnsi="Consolas"/>
          <w:sz w:val="17"/>
        </w:rPr>
        <w:t>baseline-v1</w:t>
      </w:r>
      <w:r>
        <w:t xml:space="preserve"> into a temporary directory, pulls its data and retrains. It reproduces the recorded PR-AUC </w:t>
      </w:r>
      <w:r>
        <w:rPr>
          <w:b/>
        </w:rPr>
        <w:t>0.876207</w:t>
      </w:r>
      <w:r>
        <w:t xml:space="preserve"> and recall </w:t>
      </w:r>
      <w:r>
        <w:rPr>
          <w:b/>
        </w:rPr>
        <w:t>0.970588</w:t>
      </w:r>
      <w:r>
        <w:t xml:space="preserve"> exactly.</w:t>
      </w:r>
    </w:p>
    <w:p>
      <w:pPr>
        <w:pStyle w:val="ListBullet"/>
      </w:pPr>
      <w:r>
        <w:t>Version 2 entered through PR "data: dataset v2" as a two-line pointer diff.</w:t>
      </w:r>
    </w:p>
    <w:p>
      <w:r>
        <w:rPr>
          <w:b/>
        </w:rPr>
        <w:t>Configuration (Task 3).</w:t>
      </w:r>
    </w:p>
    <w:p>
      <w:pPr>
        <w:pStyle w:val="ListBullet"/>
      </w:pPr>
      <w:r>
        <w:rPr>
          <w:rFonts w:ascii="Consolas" w:hAnsi="Consolas"/>
          <w:sz w:val="17"/>
        </w:rPr>
        <w:t>base.yaml</w:t>
      </w:r>
      <w:r>
        <w:t xml:space="preserve"> holds every tunable value: paths, utilisation cut-off, delay flag, age bins, imputation, search spaces, seed, tracking, gate.</w:t>
      </w:r>
    </w:p>
    <w:p>
      <w:pPr>
        <w:pStyle w:val="ListBullet"/>
      </w:pPr>
      <w:r>
        <w:rPr>
          <w:rFonts w:ascii="Consolas" w:hAnsi="Consolas"/>
          <w:sz w:val="17"/>
        </w:rPr>
        <w:t>dev</w:t>
      </w:r>
      <w:r>
        <w:t xml:space="preserve">, </w:t>
      </w:r>
      <w:r>
        <w:rPr>
          <w:rFonts w:ascii="Consolas" w:hAnsi="Consolas"/>
          <w:sz w:val="17"/>
        </w:rPr>
        <w:t>ci</w:t>
      </w:r>
      <w:r>
        <w:t xml:space="preserve"> and </w:t>
      </w:r>
      <w:r>
        <w:rPr>
          <w:rFonts w:ascii="Consolas" w:hAnsi="Consolas"/>
          <w:sz w:val="17"/>
        </w:rPr>
        <w:t>full</w:t>
      </w:r>
      <w:r>
        <w:t xml:space="preserve"> extend it.</w:t>
      </w:r>
    </w:p>
    <w:p>
      <w:pPr>
        <w:pStyle w:val="ListBullet"/>
      </w:pPr>
      <w:r>
        <w:t xml:space="preserve">A strict Pydantic schema rejects unknown keys (a typo such as </w:t>
      </w:r>
      <w:r>
        <w:rPr>
          <w:rFonts w:ascii="Consolas" w:hAnsi="Consolas"/>
          <w:sz w:val="17"/>
        </w:rPr>
        <w:t>utilization_…</w:t>
      </w:r>
      <w:r>
        <w:t xml:space="preserve"> fails immediately), wrong types, out-of-range values and inconsistent bins, listing every offending field (exit code 2).</w:t>
      </w:r>
    </w:p>
    <w:p>
      <w:pPr>
        <w:pStyle w:val="ListBullet"/>
      </w:pPr>
      <w:r>
        <w:t>Each run logs the resolved config as an artefact plus its SHA-256, so the configuration of any result is recoverable.</w:t>
      </w:r>
    </w:p>
    <w:p>
      <w:r>
        <w:rPr>
          <w:b/>
        </w:rPr>
        <w:t>Cleaning and features (Task 4).</w:t>
      </w:r>
    </w:p>
    <w:p>
      <w:pPr>
        <w:pStyle w:val="ListBullet"/>
      </w:pPr>
      <w:r>
        <w:t xml:space="preserve">The missing values in </w:t>
      </w:r>
      <w:r>
        <w:rPr>
          <w:rFonts w:ascii="Consolas" w:hAnsi="Consolas"/>
          <w:sz w:val="17"/>
        </w:rPr>
        <w:t>Credit_Limit</w:t>
      </w:r>
      <w:r>
        <w:t xml:space="preserve">, </w:t>
      </w:r>
      <w:r>
        <w:rPr>
          <w:rFonts w:ascii="Consolas" w:hAnsi="Consolas"/>
          <w:sz w:val="17"/>
        </w:rPr>
        <w:t>Current_Balance</w:t>
      </w:r>
      <w:r>
        <w:t xml:space="preserve"> and </w:t>
      </w:r>
      <w:r>
        <w:rPr>
          <w:rFonts w:ascii="Consolas" w:hAnsi="Consolas"/>
          <w:sz w:val="17"/>
        </w:rPr>
        <w:t>Payment_Delay_Days</w:t>
      </w:r>
      <w:r>
        <w:t xml:space="preserve"> occur in the </w:t>
      </w:r>
      <w:r>
        <w:rPr>
          <w:b/>
        </w:rPr>
        <w:t>same 24 rows</w:t>
      </w:r>
      <w:r>
        <w:t xml:space="preserve"> with a normal default rate. We impute training-set medians inside the pipeline and add a </w:t>
      </w:r>
      <w:r>
        <w:rPr>
          <w:rFonts w:ascii="Consolas" w:hAnsi="Consolas"/>
          <w:sz w:val="17"/>
        </w:rPr>
        <w:t>record_incomplete</w:t>
      </w:r>
      <w:r>
        <w:t xml:space="preserve"> flag.</w:t>
      </w:r>
    </w:p>
    <w:p>
      <w:pPr>
        <w:pStyle w:val="ListBullet"/>
      </w:pPr>
      <w:r>
        <w:t>Engineered features:</w:t>
      </w:r>
    </w:p>
    <w:p>
      <w:pPr>
        <w:pStyle w:val="ListBullet"/>
      </w:pPr>
      <w:r>
        <w:rPr>
          <w:rFonts w:ascii="Consolas" w:hAnsi="Consolas"/>
          <w:sz w:val="17"/>
        </w:rPr>
        <w:t>utilisation</w:t>
      </w:r>
      <w:r>
        <w:t xml:space="preserve"> (ratio; largest coefficient);</w:t>
      </w:r>
    </w:p>
    <w:p>
      <w:pPr>
        <w:pStyle w:val="ListBullet"/>
      </w:pPr>
      <w:r>
        <w:rPr>
          <w:rFonts w:ascii="Consolas" w:hAnsi="Consolas"/>
          <w:sz w:val="17"/>
        </w:rPr>
        <w:t>spend_to_limit</w:t>
      </w:r>
      <w:r>
        <w:t xml:space="preserve"> and </w:t>
      </w:r>
      <w:r>
        <w:rPr>
          <w:rFonts w:ascii="Consolas" w:hAnsi="Consolas"/>
          <w:sz w:val="17"/>
        </w:rPr>
        <w:t>spend_per_transaction</w:t>
      </w:r>
      <w:r>
        <w:t>;</w:t>
      </w:r>
    </w:p>
    <w:p>
      <w:pPr>
        <w:pStyle w:val="ListBullet"/>
      </w:pPr>
      <w:r>
        <w:rPr>
          <w:rFonts w:ascii="Consolas" w:hAnsi="Consolas"/>
          <w:sz w:val="17"/>
        </w:rPr>
        <w:t>high_utilisation_flag</w:t>
      </w:r>
      <w:r>
        <w:t xml:space="preserve"> (≥ 0.80, configurable) and </w:t>
      </w:r>
      <w:r>
        <w:rPr>
          <w:rFonts w:ascii="Consolas" w:hAnsi="Consolas"/>
          <w:sz w:val="17"/>
        </w:rPr>
        <w:t>late_payer_flag</w:t>
      </w:r>
      <w:r>
        <w:t xml:space="preserve"> (&gt; 7 days);</w:t>
      </w:r>
    </w:p>
    <w:p>
      <w:pPr>
        <w:pStyle w:val="ListBullet"/>
      </w:pPr>
      <w:r>
        <w:rPr>
          <w:rFonts w:ascii="Consolas" w:hAnsi="Consolas"/>
          <w:sz w:val="17"/>
        </w:rPr>
        <w:t>age_band</w:t>
      </w:r>
      <w:r>
        <w:t xml:space="preserve"> (binned, one-hot; captures a non-linear age effect);</w:t>
      </w:r>
    </w:p>
    <w:p>
      <w:pPr>
        <w:pStyle w:val="ListBullet"/>
      </w:pPr>
      <w:r>
        <w:t xml:space="preserve">our own </w:t>
      </w:r>
      <w:r>
        <w:rPr>
          <w:rFonts w:ascii="Consolas" w:hAnsi="Consolas"/>
          <w:sz w:val="17"/>
        </w:rPr>
        <w:t>credit_stress_index</w:t>
      </w:r>
      <w:r>
        <w:t xml:space="preserve"> = utilisation × log(1 + delay), for compounding stress.</w:t>
      </w:r>
    </w:p>
    <w:p>
      <w:pPr>
        <w:pStyle w:val="ListBullet"/>
      </w:pPr>
      <w:r>
        <w:t>Edge cases are defined and tested: a zero or negative credit limit gives the capped ratio, and zero transactions are clipped.</w:t>
      </w:r>
    </w:p>
    <w:p>
      <w:pPr>
        <w:pStyle w:val="ListBullet"/>
      </w:pPr>
      <w:r>
        <w:t xml:space="preserve">Leakage is prevented by construction: the target is rejected by the builder, </w:t>
      </w:r>
      <w:r>
        <w:rPr>
          <w:rFonts w:ascii="Consolas" w:hAnsi="Consolas"/>
          <w:sz w:val="17"/>
        </w:rPr>
        <w:t>Customer_ID</w:t>
      </w:r>
      <w:r>
        <w:t xml:space="preserve"> is ignored (tested invariance), and all statistics are fitted per fold.</w:t>
      </w:r>
    </w:p>
    <w:p>
      <w:pPr>
        <w:pStyle w:val="ListBullet"/>
      </w:pPr>
      <w:r>
        <w:t xml:space="preserve">The whole pipeline is one scikit-learn object, so training, CI and </w:t>
      </w:r>
      <w:r>
        <w:rPr>
          <w:rFonts w:ascii="Consolas" w:hAnsi="Consolas"/>
          <w:sz w:val="17"/>
        </w:rPr>
        <w:t>predict.py</w:t>
      </w:r>
      <w:r>
        <w:t xml:space="preserve"> are identical.</w:t>
      </w:r>
    </w:p>
    <w:p>
      <w:pPr>
        <w:pStyle w:val="ListBullet"/>
      </w:pPr>
      <w:r>
        <w:t xml:space="preserve">Ablations: engineered features add +0.079 CV PR-AUC, mostly through the ratios. </w:t>
      </w:r>
      <w:r>
        <w:rPr>
          <w:b/>
        </w:rPr>
        <w:t>Our own feature adds no measurable lift (+0.002 when removed, inside the 0.04 fold sd)</w:t>
      </w:r>
      <w:r>
        <w:t>. We report this rather than overclaim.</w:t>
      </w:r>
    </w:p>
    <w:p>
      <w:r>
        <w:rPr>
          <w:b/>
        </w:rPr>
        <w:t>Training, metric and registry (Task 5).</w:t>
      </w:r>
      <w:r>
        <w:t xml:space="preserve"> 20% positives make accuracy misleading. Predicting "nobody defaults" scores </w:t>
      </w:r>
      <w:r>
        <w:rPr>
          <w:b/>
        </w:rPr>
        <w:t>81.7%</w:t>
      </w:r>
      <w:r>
        <w:t xml:space="preserve"> accuracy on our test split, </w:t>
      </w:r>
      <w:r>
        <w:rPr>
          <w:i/>
        </w:rPr>
        <w:t>higher</w:t>
      </w:r>
      <w:r>
        <w:t xml:space="preserve"> than our model's 81.2%, while catching 0 of 34 defaulters (we catch 33). We therefore:</w:t>
      </w:r>
    </w:p>
    <w:p>
      <w:pPr>
        <w:pStyle w:val="ListBullet"/>
      </w:pPr>
      <w:r>
        <w:t xml:space="preserve">select models by </w:t>
      </w:r>
      <w:r>
        <w:rPr>
          <w:b/>
        </w:rPr>
        <w:t>cross-validated PR-AUC on the training split</w:t>
      </w:r>
      <w:r>
        <w:t>;</w:t>
      </w:r>
    </w:p>
    <w:p>
      <w:pPr>
        <w:pStyle w:val="ListBullet"/>
      </w:pPr>
      <w:r>
        <w:t xml:space="preserve">set the decision threshold by maximising </w:t>
      </w:r>
      <w:r>
        <w:rPr>
          <w:b/>
        </w:rPr>
        <w:t>F2</w:t>
      </w:r>
      <w:r>
        <w:t xml:space="preserve"> on out-of-fold scores, because missed defaulters cost more than reviews;</w:t>
      </w:r>
    </w:p>
    <w:p>
      <w:pPr>
        <w:pStyle w:val="ListBullet"/>
      </w:pPr>
      <w:r>
        <w:t>report recall, precision, ROC-AUC and Brier score.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CV PR-AUC ± sd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Test PR-AUC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Test recall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Test precision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Dummy (prior)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0.191 ± 0.004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0.183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0.183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Logistic regression (C = 1)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0.866 ± 0.036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0.884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0.971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0.635</w:t>
            </w:r>
          </w:p>
        </w:tc>
      </w:tr>
      <w:tr>
        <w:tc>
          <w:tcPr>
            <w:tcW w:type="dxa" w:w="2085"/>
          </w:tcPr>
          <w:p>
            <w:r>
              <w:rPr>
                <w:b/>
                <w:sz w:val="16"/>
              </w:rPr>
              <w:t>Logistic regression, tuned (selected)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0.873 ± 0.040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0.876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0.971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0.493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Random forest, tuned (48 settings)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0.852 ± 0.053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0.788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0.824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0.596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Gradient boosting, tuned (48 settings)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0.852 ± 0.051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0.781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0.853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0.580</w:t>
            </w:r>
          </w:p>
        </w:tc>
      </w:tr>
    </w:tbl>
    <w:p/>
    <w:p>
      <w:r>
        <w:t xml:space="preserve">The tree ensembles overfit 600 training rows. The selected run is registered as </w:t>
      </w:r>
      <w:r>
        <w:rPr>
          <w:rFonts w:ascii="Consolas" w:hAnsi="Consolas"/>
          <w:sz w:val="17"/>
        </w:rPr>
        <w:t>credit-risk-classifier</w:t>
      </w:r>
      <w:r>
        <w:t xml:space="preserve"> v1 (alias </w:t>
      </w:r>
      <w:r>
        <w:rPr>
          <w:rFonts w:ascii="Consolas" w:hAnsi="Consolas"/>
          <w:sz w:val="17"/>
        </w:rPr>
        <w:t>@champion</w:t>
      </w:r>
      <w:r>
        <w:t xml:space="preserve">), with tags for git commit, </w:t>
      </w:r>
      <w:r>
        <w:rPr>
          <w:rFonts w:ascii="Consolas" w:hAnsi="Consolas"/>
          <w:sz w:val="17"/>
        </w:rPr>
        <w:t>git_dirty=false</w:t>
      </w:r>
      <w:r>
        <w:t>, data md5/version, config name/hash and seed. Logged models bundle their source code and pinned requirements.</w:t>
      </w:r>
    </w:p>
    <w:p>
      <w:r>
        <w:rPr>
          <w:b/>
        </w:rPr>
        <w:t>Quality gate (Task 6).</w:t>
      </w:r>
      <w:r>
        <w:t xml:space="preserve"> On every PR the workflow:</w:t>
      </w:r>
    </w:p>
    <w:p>
      <w:pPr>
        <w:pStyle w:val="ListNumber"/>
      </w:pPr>
      <w:r>
        <w:t>pulls the PR's data version;</w:t>
      </w:r>
    </w:p>
    <w:p>
      <w:pPr>
        <w:pStyle w:val="ListNumber"/>
      </w:pPr>
      <w:r>
        <w:t>validates the configs and runs pytest;</w:t>
      </w:r>
    </w:p>
    <w:p>
      <w:pPr>
        <w:pStyle w:val="ListNumber"/>
      </w:pPr>
      <w:r>
        <w:t xml:space="preserve">trains </w:t>
      </w:r>
      <w:r>
        <w:rPr>
          <w:rFonts w:ascii="Consolas" w:hAnsi="Consolas"/>
          <w:sz w:val="17"/>
        </w:rPr>
        <w:t>ci.yaml</w:t>
      </w:r>
      <w:r>
        <w:t xml:space="preserve"> (≈5 s);</w:t>
      </w:r>
    </w:p>
    <w:p>
      <w:pPr>
        <w:pStyle w:val="ListNumber"/>
      </w:pPr>
      <w:r>
        <w:t xml:space="preserve">compares with </w:t>
      </w:r>
      <w:r>
        <w:rPr>
          <w:rFonts w:ascii="Consolas" w:hAnsi="Consolas"/>
          <w:sz w:val="17"/>
        </w:rPr>
        <w:t>baseline/baseline_metrics.json</w:t>
      </w:r>
      <w:r>
        <w:t>;</w:t>
      </w:r>
    </w:p>
    <w:p>
      <w:pPr>
        <w:pStyle w:val="ListNumber"/>
      </w:pPr>
      <w:r>
        <w:t>publishes a Markdown summary (checks, metric deltas, failing tests, provenance) to the job page and as a PR comment;</w:t>
      </w:r>
    </w:p>
    <w:p>
      <w:pPr>
        <w:pStyle w:val="ListNumber"/>
      </w:pPr>
      <w:r>
        <w:t>fails the required check to block the merge.</w:t>
      </w:r>
    </w:p>
    <w:p>
      <w:r>
        <w:t xml:space="preserve">The baseline can change only through </w:t>
      </w:r>
      <w:r>
        <w:rPr>
          <w:rFonts w:ascii="Consolas" w:hAnsi="Consolas"/>
          <w:sz w:val="17"/>
        </w:rPr>
        <w:t>scripts/update_baseline.py</w:t>
      </w:r>
      <w:r>
        <w:t xml:space="preserve"> (clean tree, mandatory reason) in a PR labelled </w:t>
      </w:r>
      <w:r>
        <w:rPr>
          <w:rFonts w:ascii="Consolas" w:hAnsi="Consolas"/>
          <w:sz w:val="17"/>
        </w:rPr>
        <w:t>baseline-update</w:t>
      </w:r>
      <w:r>
        <w:t xml:space="preserve">. There, a </w:t>
      </w:r>
      <w:r>
        <w:rPr>
          <w:rFonts w:ascii="Consolas" w:hAnsi="Consolas"/>
          <w:sz w:val="17"/>
        </w:rPr>
        <w:t>baseline-guard</w:t>
      </w:r>
      <w:r>
        <w:t xml:space="preserve"> job retrains and requires an exact (1e-6) match, so a hand-lowered baseline cannot merge. CODEOWNERS and branch protection cover the rest. The CI history shows three PRs:</w:t>
      </w:r>
    </w:p>
    <w:p>
      <w:pPr>
        <w:pStyle w:val="ListBullet"/>
      </w:pPr>
      <w:r>
        <w:t>PR 1 passes (wider C grid);</w:t>
      </w:r>
    </w:p>
    <w:p>
      <w:pPr>
        <w:pStyle w:val="ListBullet"/>
      </w:pPr>
      <w:r>
        <w:t>PR 2 is blocked because the model is worse (delay features dropped);</w:t>
      </w:r>
    </w:p>
    <w:p>
      <w:pPr>
        <w:pStyle w:val="ListBullet"/>
      </w:pPr>
      <w:r>
        <w:t xml:space="preserve">PR 3 is blocked by the failing test </w:t>
      </w:r>
      <w:r>
        <w:rPr>
          <w:rFonts w:ascii="Consolas" w:hAnsi="Consolas"/>
          <w:sz w:val="17"/>
        </w:rPr>
        <w:t>test_ratio_zero_limit_with_balance_is_capped</w:t>
      </w:r>
      <w:r>
        <w:t>.</w:t>
      </w:r>
    </w:p>
    <w:p>
      <w:pPr>
        <w:pStyle w:val="Heading2"/>
      </w:pPr>
      <w:r>
        <w:rPr>
          <w:color w:val="264653"/>
        </w:rPr>
        <w:t>3. Choosing and defending the gate (Task 8)</w:t>
      </w:r>
    </w:p>
    <w:p>
      <w:r>
        <w:t>We built a labelled history of 18 CI runs: five benign changes, seven harmful changes, and five seed changes as noise probes. Against it we replayed eight rules: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2606"/>
          </w:tcPr>
          <w:p>
            <w:r>
              <w:rPr>
                <w:b/>
                <w:sz w:val="16"/>
              </w:rPr>
              <w:t>Benign accepted</w:t>
            </w:r>
          </w:p>
        </w:tc>
        <w:tc>
          <w:tcPr>
            <w:tcW w:type="dxa" w:w="2606"/>
          </w:tcPr>
          <w:p>
            <w:r>
              <w:rPr>
                <w:b/>
                <w:sz w:val="16"/>
              </w:rPr>
              <w:t>Harmful rejected</w:t>
            </w:r>
          </w:p>
        </w:tc>
        <w:tc>
          <w:tcPr>
            <w:tcW w:type="dxa" w:w="2606"/>
          </w:tcPr>
          <w:p>
            <w:r>
              <w:rPr>
                <w:b/>
                <w:sz w:val="16"/>
              </w:rPr>
              <w:t>Lets through</w:t>
            </w:r>
          </w:p>
        </w:tc>
      </w:tr>
      <w:tr>
        <w:tc>
          <w:tcPr>
            <w:tcW w:type="dxa" w:w="2606"/>
          </w:tcPr>
          <w:p>
            <w:r>
              <w:rPr>
                <w:sz w:val="16"/>
              </w:rPr>
              <w:t>R1 accuracy ≥ baseline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5/5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2/7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5 harmful, incl. recall falling to 0.62</w:t>
            </w:r>
          </w:p>
        </w:tc>
      </w:tr>
      <w:tr>
        <w:tc>
          <w:tcPr>
            <w:tcW w:type="dxa" w:w="2606"/>
          </w:tcPr>
          <w:p>
            <w:r>
              <w:rPr>
                <w:sz w:val="16"/>
              </w:rPr>
              <w:t>R3 PR-AUC ≥ baseline (strict)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3/5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5/7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threshold regressions; blocks 2 refactors</w:t>
            </w:r>
          </w:p>
        </w:tc>
      </w:tr>
      <w:tr>
        <w:tc>
          <w:tcPr>
            <w:tcW w:type="dxa" w:w="2606"/>
          </w:tcPr>
          <w:p>
            <w:r>
              <w:rPr>
                <w:sz w:val="16"/>
              </w:rPr>
              <w:t>R4 PR-AUC ≥ baseline − 0.02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5/5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5/7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threshold-0.5 and threshold-0.7 (PR-AUC unchanged)</w:t>
            </w:r>
          </w:p>
        </w:tc>
      </w:tr>
      <w:tr>
        <w:tc>
          <w:tcPr>
            <w:tcW w:type="dxa" w:w="2606"/>
          </w:tcPr>
          <w:p>
            <w:r>
              <w:rPr>
                <w:sz w:val="16"/>
              </w:rPr>
              <w:t>R6 F2 ≥ baseline − 0.02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5/5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6/7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raw-features-only (−0.060 PR-AUC)</w:t>
            </w:r>
          </w:p>
        </w:tc>
      </w:tr>
      <w:tr>
        <w:tc>
          <w:tcPr>
            <w:tcW w:type="dxa" w:w="2606"/>
          </w:tcPr>
          <w:p>
            <w:r>
              <w:rPr>
                <w:sz w:val="16"/>
              </w:rPr>
              <w:t>R7 R4 + recall ≥ 0.70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5/5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6/7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threshold-0.5 (recall 0.765)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sz w:val="16"/>
              </w:rPr>
              <w:t>R8 R4 + recall ≥ 0.85 (adopted)</w:t>
            </w:r>
          </w:p>
        </w:tc>
        <w:tc>
          <w:tcPr>
            <w:tcW w:type="dxa" w:w="2606"/>
          </w:tcPr>
          <w:p>
            <w:r>
              <w:rPr>
                <w:b/>
                <w:sz w:val="16"/>
              </w:rPr>
              <w:t>5/5</w:t>
            </w:r>
          </w:p>
        </w:tc>
        <w:tc>
          <w:tcPr>
            <w:tcW w:type="dxa" w:w="2606"/>
          </w:tcPr>
          <w:p>
            <w:r>
              <w:rPr>
                <w:b/>
                <w:sz w:val="16"/>
              </w:rPr>
              <w:t>7/7</w:t>
            </w:r>
          </w:p>
        </w:tc>
        <w:tc>
          <w:tcPr>
            <w:tcW w:type="dxa" w:w="2606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Benign changes on the fixed split moved PR-AUC by ≤ 0.0095, and the smallest real regression was 0.060. The 0.02 tolerance therefore sits 2× above jitter and 3× below harm.</w:t>
      </w:r>
    </w:p>
    <w:p>
      <w:r>
        <w:t>The trade-offs we accept:</w:t>
      </w:r>
    </w:p>
    <w:p>
      <w:pPr>
        <w:pStyle w:val="ListBullet"/>
      </w:pPr>
      <w:r>
        <w:t>up to 0.02 of real PR-AUC loss can pass, though it cannot compound because the baseline is fixed;</w:t>
      </w:r>
    </w:p>
    <w:p>
      <w:pPr>
        <w:pStyle w:val="ListBullet"/>
      </w:pPr>
      <w:r>
        <w:t>the recall floor is coarse (one test defaulter = 2.9 points), so changes that move the split itself need the multi-seed drill.</w:t>
      </w:r>
    </w:p>
    <w:p>
      <w:r>
        <w:t>The one-page memo (</w:t>
      </w:r>
      <w:r>
        <w:rPr>
          <w:rFonts w:ascii="Consolas" w:hAnsi="Consolas"/>
          <w:sz w:val="17"/>
        </w:rPr>
        <w:t>docs/gate_defense_memo.md</w:t>
      </w:r>
      <w:r>
        <w:t>) states what evidence would change the rule: cost data, a larger pooled test set, or benign shifts above 0.02.</w:t>
      </w:r>
    </w:p>
    <w:p>
      <w:r>
        <w:rPr>
          <w:b/>
        </w:rPr>
        <w:t>Fairness.</w:t>
      </w:r>
      <w:r>
        <w:t xml:space="preserve"> Out-of-fold over 800 customers, the High-income group has fewer false flags (FPR 12.4% vs 17.3–17.6%) but more missed defaulters (FNR 9.5% vs 3.0–6.3%). The test-split view rests on only 5 High-income defaulters. All intervals overlap, and retraining without </w:t>
      </w:r>
      <w:r>
        <w:rPr>
          <w:rFonts w:ascii="Consolas" w:hAnsi="Consolas"/>
          <w:sz w:val="17"/>
        </w:rPr>
        <w:t>Income_Bracket</w:t>
      </w:r>
      <w:r>
        <w:t xml:space="preserve"> leaves PR-AUC (0.878) and the gaps unchanged. The disparity is therefore not caused by the income input: it follows the behavioural features and the groups' base rates (12.7% vs 20–21%). We judge it </w:t>
      </w:r>
      <w:r>
        <w:rPr>
          <w:b/>
        </w:rPr>
        <w:t>acceptable</w:t>
      </w:r>
      <w:r>
        <w:t>, re-check it on every data version, set a 10-point gap with a CI excluding 0 as the trigger to act, and propose dropping the uninformative income feature in a future PR.</w:t>
      </w:r>
    </w:p>
    <w:p>
      <w:pPr>
        <w:pStyle w:val="Heading2"/>
      </w:pPr>
      <w:r>
        <w:rPr>
          <w:color w:val="264653"/>
        </w:rPr>
        <w:t>4. Data-change drill: v1 versus v2 (Task 7)</w:t>
      </w:r>
    </w:p>
    <w:p>
      <w:r>
        <w:t xml:space="preserve">Dataset v2 (v1 plus 300 new customers) went through the same CI configuration. Both versions were pulled from history with </w:t>
      </w:r>
      <w:r>
        <w:rPr>
          <w:rFonts w:ascii="Consolas" w:hAnsi="Consolas"/>
          <w:sz w:val="17"/>
        </w:rPr>
        <w:t>dvc get --rev</w:t>
      </w:r>
      <w:r>
        <w:t xml:space="preserve"> and trained with </w:t>
      </w:r>
      <w:r>
        <w:rPr>
          <w:b/>
        </w:rPr>
        <w:t>five seeds</w:t>
      </w:r>
      <w:r>
        <w:t xml:space="preserve"> each: 10 tracked runs tagged </w:t>
      </w:r>
      <w:r>
        <w:rPr>
          <w:rFonts w:ascii="Consolas" w:hAnsi="Consolas"/>
          <w:sz w:val="17"/>
        </w:rPr>
        <w:t>data_version</w:t>
      </w:r>
      <w:r>
        <w:t xml:space="preserve"> and </w:t>
      </w:r>
      <w:r>
        <w:rPr>
          <w:rFonts w:ascii="Consolas" w:hAnsi="Consolas"/>
          <w:sz w:val="17"/>
        </w:rPr>
        <w:t>data_md5</w:t>
      </w:r>
      <w:r>
        <w:t xml:space="preserve">. Because the split hashes </w:t>
      </w:r>
      <w:r>
        <w:rPr>
          <w:rFonts w:ascii="Consolas" w:hAnsi="Consolas"/>
          <w:sz w:val="17"/>
        </w:rPr>
        <w:t>(seed, Customer_ID)</w:t>
      </w:r>
      <w:r>
        <w:t>, every v1 customer sits on the same side in both versions, which allows a paired comparison on identical rows.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ll_v1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r>
              <w:rPr>
                <w:b/>
                <w:sz w:val="16"/>
              </w:rPr>
              <w:t>v2 − v1 (PR-AUC)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Mean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SD (seeds)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v2 better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p (paired t)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Own test split (what CI sees)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+0.0066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0.0268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3/5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0.61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Identical v1 test customers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−0.0004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0.0126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2/5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0.95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New-customer test rows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+0.0083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0.0056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5/5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Recall, own split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−0.0351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0.0556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1/5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0.23</w:t>
            </w:r>
          </w:p>
        </w:tc>
      </w:tr>
    </w:tbl>
    <w:p/>
    <w:p>
      <w:r>
        <w:rPr>
          <w:b/>
        </w:rPr>
        <w:t>Findings.</w:t>
      </w:r>
    </w:p>
    <w:p>
      <w:pPr>
        <w:pStyle w:val="ListBullet"/>
      </w:pPr>
      <w:r>
        <w:t>On the gate's seed, v2 scores PR-AUC 0.8997 against the baseline's 0.8762 (+0.0235), and the gate passes it.</w:t>
      </w:r>
    </w:p>
    <w:p>
      <w:pPr>
        <w:pStyle w:val="ListBullet"/>
      </w:pPr>
      <w:r>
        <w:t>That apparent gain is not real. Over seeds it is +0.007 ± 0.027, the same size as pure seed noise (sd 0.025). On identical customers the models are indistinguishable, and every seed's paired-bootstrap 95% interval contains 0.</w:t>
      </w:r>
    </w:p>
    <w:p>
      <w:pPr>
        <w:pStyle w:val="ListBullet"/>
      </w:pPr>
      <w:r>
        <w:t>Most of the +0.0235 comes from a different, easier test set: the v1 model already reaches 0.93 on the new customers.</w:t>
      </w:r>
    </w:p>
    <w:p>
      <w:pPr>
        <w:pStyle w:val="ListBullet"/>
      </w:pPr>
      <w:r>
        <w:t>The only consistent gain is small and expected (+0.008 on new customers).</w:t>
      </w:r>
    </w:p>
    <w:p>
      <w:pPr>
        <w:pStyle w:val="ListBullet"/>
      </w:pPr>
      <w:r>
        <w:t>Drift is minor: the new customers are slightly older (KS p = 0.007, PSI 0.095) and identical on financial features and default rate.</w:t>
      </w:r>
    </w:p>
    <w:p>
      <w:r>
        <w:rPr>
          <w:b/>
        </w:rPr>
        <w:t>Conclusion: the gate should accept the v2 model as "not worse", not as "better".</w:t>
      </w:r>
      <w:r>
        <w:t xml:space="preserve"> It is equivalent on known customers, slightly better on the new segment, trained on 37.5% more and fresher data, and representative of the current population. We merge it and move the baseline in a separate </w:t>
      </w:r>
      <w:r>
        <w:rPr>
          <w:rFonts w:ascii="Consolas" w:hAnsi="Consolas"/>
          <w:sz w:val="17"/>
        </w:rPr>
        <w:t>baseline-update</w:t>
      </w:r>
      <w:r>
        <w:t xml:space="preserve"> PR whose reason cites this drill, without claiming a +0.024 improvement. Recall at the F2-tuned threshold fell below 0.85 for two of five seeds, so the next data month is the first place to watch.</w:t>
      </w:r>
    </w:p>
    <w:p>
      <w:pPr>
        <w:pStyle w:val="Heading2"/>
      </w:pPr>
      <w:r>
        <w:rPr>
          <w:color w:val="264653"/>
        </w:rPr>
        <w:t>5. Limitations and next steps</w:t>
      </w:r>
    </w:p>
    <w:p>
      <w:pPr>
        <w:pStyle w:val="ListBullet"/>
      </w:pPr>
      <w:r>
        <w:t>Small test sets: 34–64 defaulters per split limit how precise recall and subgroup estimates can be. Pooling months would allow a tighter tolerance and a relative recall guard.</w:t>
      </w:r>
    </w:p>
    <w:p>
      <w:pPr>
        <w:pStyle w:val="ListBullet"/>
      </w:pPr>
      <w:r>
        <w:t>Cost-based gating needs real cost-of-error figures from the risk team.</w:t>
      </w:r>
    </w:p>
    <w:p>
      <w:pPr>
        <w:pStyle w:val="ListBullet"/>
      </w:pPr>
      <w:r>
        <w:t>Out of scope but straightforward with the same artefacts: a scheduled retrain trigger (</w:t>
      </w:r>
      <w:r>
        <w:rPr>
          <w:rFonts w:ascii="Consolas" w:hAnsi="Consolas"/>
          <w:sz w:val="17"/>
        </w:rPr>
        <w:t>on: schedule</w:t>
      </w:r>
      <w:r>
        <w:t xml:space="preserve">), a REST endpoint serving </w:t>
      </w:r>
      <w:r>
        <w:rPr>
          <w:rFonts w:ascii="Consolas" w:hAnsi="Consolas"/>
          <w:sz w:val="17"/>
        </w:rPr>
        <w:t>@champion</w:t>
      </w:r>
      <w:r>
        <w:t>, and live drift and subgroup dashboards.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